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A57924">
        <w:rPr>
          <w:b/>
          <w:sz w:val="30"/>
          <w:lang w:eastAsia="zh-CN"/>
        </w:rPr>
        <w:t>1</w:t>
      </w:r>
      <w:r w:rsidR="00C700F2">
        <w:rPr>
          <w:b/>
          <w:sz w:val="30"/>
          <w:lang w:eastAsia="zh-CN"/>
        </w:rPr>
        <w:t>7</w:t>
      </w:r>
      <w:r w:rsidRPr="004824A0">
        <w:rPr>
          <w:b/>
          <w:sz w:val="30"/>
          <w:lang w:eastAsia="zh-CN"/>
        </w:rPr>
        <w:t>.201</w:t>
      </w:r>
      <w:r w:rsidR="001D499C">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A57924" w:rsidRDefault="00547C97" w:rsidP="00075902">
      <w:pPr>
        <w:jc w:val="center"/>
        <w:rPr>
          <w:b/>
          <w:bCs/>
          <w:sz w:val="32"/>
          <w:szCs w:val="32"/>
        </w:rPr>
      </w:pPr>
      <w:r w:rsidRPr="0053319A">
        <w:rPr>
          <w:b/>
          <w:bCs/>
          <w:sz w:val="32"/>
          <w:szCs w:val="32"/>
        </w:rPr>
        <w:t>„</w:t>
      </w:r>
      <w:r w:rsidR="001D499C">
        <w:rPr>
          <w:b/>
          <w:bCs/>
          <w:sz w:val="32"/>
          <w:szCs w:val="32"/>
        </w:rPr>
        <w:t xml:space="preserve">Budowa oświetlenia ul. </w:t>
      </w:r>
      <w:r w:rsidR="00A57924">
        <w:rPr>
          <w:b/>
          <w:bCs/>
          <w:sz w:val="32"/>
          <w:szCs w:val="32"/>
        </w:rPr>
        <w:t xml:space="preserve">Ul. Tadeusza Boya Żeleńskiego, </w:t>
      </w:r>
    </w:p>
    <w:p w:rsidR="0056448A" w:rsidRPr="0053319A" w:rsidRDefault="00A57924" w:rsidP="00075902">
      <w:pPr>
        <w:jc w:val="center"/>
        <w:rPr>
          <w:b/>
          <w:bCs/>
          <w:sz w:val="32"/>
          <w:szCs w:val="32"/>
        </w:rPr>
      </w:pPr>
      <w:r>
        <w:rPr>
          <w:b/>
          <w:bCs/>
          <w:sz w:val="32"/>
          <w:szCs w:val="32"/>
        </w:rPr>
        <w:t>J. Kasprowicza, J. Korczaka w</w:t>
      </w:r>
      <w:r w:rsidR="001D499C">
        <w:rPr>
          <w:b/>
          <w:bCs/>
          <w:sz w:val="32"/>
          <w:szCs w:val="32"/>
        </w:rPr>
        <w:t xml:space="preserve"> Koszalin</w:t>
      </w:r>
      <w:r>
        <w:rPr>
          <w:b/>
          <w:bCs/>
          <w:sz w:val="32"/>
          <w:szCs w:val="32"/>
        </w:rPr>
        <w:t>ie</w:t>
      </w:r>
      <w:r w:rsidR="00547C97" w:rsidRPr="0053319A">
        <w:rPr>
          <w:b/>
          <w:bCs/>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961321">
        <w:rPr>
          <w:rFonts w:ascii="Arial" w:hAnsi="Arial" w:cs="Arial"/>
          <w:b/>
          <w:bCs/>
        </w:rPr>
        <w:t>07</w:t>
      </w:r>
      <w:r w:rsidR="00C700F2">
        <w:rPr>
          <w:rFonts w:ascii="Arial" w:hAnsi="Arial" w:cs="Arial"/>
          <w:b/>
          <w:bCs/>
        </w:rPr>
        <w:t>.06</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531B8E" w:rsidRDefault="00531B8E" w:rsidP="000423C2">
      <w:pPr>
        <w:spacing w:before="40" w:after="40"/>
        <w:jc w:val="center"/>
        <w:rPr>
          <w:b/>
          <w:bCs/>
          <w:smallCaps/>
        </w:rPr>
      </w:pPr>
    </w:p>
    <w:p w:rsidR="00CA281A" w:rsidRDefault="00CA281A" w:rsidP="000423C2">
      <w:pPr>
        <w:spacing w:before="40" w:after="40"/>
        <w:jc w:val="center"/>
        <w:rPr>
          <w:b/>
          <w:bCs/>
          <w:smallCaps/>
        </w:rPr>
      </w:pPr>
    </w:p>
    <w:p w:rsidR="00CA281A" w:rsidRDefault="00CA281A"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1D499C">
        <w:t>6</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296E4A">
        <w:rPr>
          <w:b/>
          <w:bCs/>
        </w:rPr>
        <w:t>Dokumentacje Techniczne, SST</w:t>
      </w:r>
      <w:r w:rsidR="00A376D9">
        <w:rPr>
          <w:b/>
          <w:bCs/>
        </w:rPr>
        <w:tab/>
        <w:t>, obliczenia oświetlenia</w:t>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CA281A" w:rsidRDefault="005D4055" w:rsidP="00FB0224">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CA281A">
        <w:rPr>
          <w:rFonts w:ascii="Times New Roman" w:hAnsi="Times New Roman" w:cs="Times New Roman"/>
          <w:sz w:val="24"/>
          <w:szCs w:val="24"/>
        </w:rPr>
        <w:t>Gmina Miasto Koszalin</w:t>
      </w:r>
      <w:r w:rsidR="00CA281A">
        <w:rPr>
          <w:rFonts w:ascii="Times New Roman" w:hAnsi="Times New Roman" w:cs="Times New Roman"/>
          <w:sz w:val="24"/>
          <w:szCs w:val="24"/>
        </w:rPr>
        <w:t xml:space="preserve"> </w:t>
      </w:r>
      <w:r w:rsidR="0011798C">
        <w:rPr>
          <w:rFonts w:ascii="Times New Roman" w:hAnsi="Times New Roman" w:cs="Times New Roman"/>
          <w:sz w:val="24"/>
          <w:szCs w:val="24"/>
        </w:rPr>
        <w:t xml:space="preserve">- </w:t>
      </w:r>
      <w:r w:rsidRPr="00CA281A">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504ECB">
      <w:pPr>
        <w:pStyle w:val="Tytu"/>
        <w:numPr>
          <w:ilvl w:val="0"/>
          <w:numId w:val="20"/>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5D4055">
        <w:rPr>
          <w:color w:val="FF0000"/>
        </w:rPr>
        <w:t>.</w:t>
      </w:r>
      <w:r w:rsidR="00A57924">
        <w:rPr>
          <w:color w:val="FF0000"/>
        </w:rPr>
        <w:t>1</w:t>
      </w:r>
      <w:r w:rsidR="00C700F2">
        <w:rPr>
          <w:color w:val="FF0000"/>
        </w:rPr>
        <w:t>7</w:t>
      </w:r>
      <w:r w:rsidR="00631D6F">
        <w:rPr>
          <w:color w:val="FF0000"/>
        </w:rPr>
        <w:t>.</w:t>
      </w:r>
      <w:r w:rsidR="0072504D">
        <w:rPr>
          <w:color w:val="FF0000"/>
        </w:rPr>
        <w:t>201</w:t>
      </w:r>
      <w:r w:rsidR="005D4055">
        <w:rPr>
          <w:color w:val="FF0000"/>
        </w:rPr>
        <w:t>7</w:t>
      </w:r>
      <w:r w:rsidR="0072504D">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57924">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z</w:t>
      </w:r>
      <w:r w:rsidR="00AB003E">
        <w:t>e</w:t>
      </w:r>
      <w:r w:rsidR="0092220D" w:rsidRPr="0072504D">
        <w:t xml:space="preserve"> </w:t>
      </w:r>
      <w:r w:rsidR="00A57924">
        <w:t>zm</w:t>
      </w:r>
      <w:r w:rsidR="0092220D" w:rsidRPr="0072504D">
        <w:t>ian</w:t>
      </w:r>
      <w:r w:rsidR="00AB003E">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CC5B8B" w:rsidRDefault="00E8631A" w:rsidP="00CC5B8B">
      <w:pPr>
        <w:numPr>
          <w:ilvl w:val="3"/>
          <w:numId w:val="19"/>
        </w:numPr>
        <w:autoSpaceDE w:val="0"/>
        <w:autoSpaceDN w:val="0"/>
        <w:adjustRightInd w:val="0"/>
        <w:spacing w:before="40" w:after="40" w:line="260" w:lineRule="exact"/>
        <w:ind w:left="284" w:hanging="284"/>
        <w:jc w:val="both"/>
        <w:rPr>
          <w:b/>
          <w:bCs/>
          <w:color w:val="000000"/>
        </w:rPr>
      </w:pPr>
      <w:r>
        <w:rPr>
          <w:b/>
          <w:bCs/>
        </w:rPr>
        <w:t>Przedmio</w:t>
      </w:r>
      <w:r w:rsidR="0053319A">
        <w:rPr>
          <w:b/>
          <w:bCs/>
        </w:rPr>
        <w:t xml:space="preserve">tem zamówienia jest </w:t>
      </w:r>
      <w:r w:rsidR="00750DDC">
        <w:rPr>
          <w:b/>
          <w:bCs/>
        </w:rPr>
        <w:t>„</w:t>
      </w:r>
      <w:r w:rsidR="005D4055">
        <w:rPr>
          <w:b/>
          <w:bCs/>
        </w:rPr>
        <w:t xml:space="preserve">Budowa oświetlenia ul. </w:t>
      </w:r>
      <w:r w:rsidR="00A57924">
        <w:rPr>
          <w:b/>
          <w:bCs/>
        </w:rPr>
        <w:t xml:space="preserve">Tadeusza Boya Żeleńskiego, </w:t>
      </w:r>
      <w:r w:rsidR="00A57924">
        <w:rPr>
          <w:b/>
          <w:bCs/>
        </w:rPr>
        <w:br/>
        <w:t>J. Kasprowicza, J. Korczaka w Koszalinie</w:t>
      </w:r>
      <w:r w:rsidR="00750DDC">
        <w:rPr>
          <w:b/>
          <w:bCs/>
        </w:rPr>
        <w:t>”</w:t>
      </w:r>
    </w:p>
    <w:p w:rsidR="00CC5B8B" w:rsidRPr="00A57924" w:rsidRDefault="00CC5B8B" w:rsidP="00CC5B8B">
      <w:pPr>
        <w:numPr>
          <w:ilvl w:val="3"/>
          <w:numId w:val="19"/>
        </w:numPr>
        <w:autoSpaceDE w:val="0"/>
        <w:autoSpaceDN w:val="0"/>
        <w:adjustRightInd w:val="0"/>
        <w:spacing w:before="40" w:after="40" w:line="260" w:lineRule="exact"/>
        <w:ind w:left="284" w:hanging="284"/>
        <w:jc w:val="both"/>
        <w:rPr>
          <w:b/>
          <w:bCs/>
          <w:color w:val="000000"/>
        </w:rPr>
      </w:pPr>
      <w:r w:rsidRPr="00CC5B8B">
        <w:rPr>
          <w:b/>
          <w:bCs/>
        </w:rPr>
        <w:t>Zakres robót budowlanych obejmuje</w:t>
      </w:r>
      <w:r w:rsidRPr="00750DDC">
        <w:t xml:space="preserve"> </w:t>
      </w:r>
      <w:r w:rsidR="00A57924" w:rsidRPr="00A57924">
        <w:rPr>
          <w:b/>
        </w:rPr>
        <w:t xml:space="preserve">budowę oświetlenia ul. T.B. Żeleńskiego, </w:t>
      </w:r>
      <w:r w:rsidR="00A57924">
        <w:rPr>
          <w:b/>
        </w:rPr>
        <w:br/>
      </w:r>
      <w:r w:rsidR="00A57924" w:rsidRPr="00A57924">
        <w:rPr>
          <w:b/>
        </w:rPr>
        <w:t>J. Kasprowicza, J. Korczaka w Koszalinie</w:t>
      </w:r>
      <w:r w:rsidRPr="00A57924">
        <w:rPr>
          <w:b/>
          <w:bCs/>
          <w:sz w:val="22"/>
          <w:szCs w:val="22"/>
        </w:rPr>
        <w:t xml:space="preserve">, </w:t>
      </w:r>
      <w:r>
        <w:rPr>
          <w:b/>
          <w:bCs/>
          <w:sz w:val="22"/>
          <w:szCs w:val="22"/>
        </w:rPr>
        <w:t>w tym:</w:t>
      </w:r>
    </w:p>
    <w:p w:rsidR="00A57924" w:rsidRDefault="00A57924" w:rsidP="00A57924">
      <w:pPr>
        <w:numPr>
          <w:ilvl w:val="0"/>
          <w:numId w:val="62"/>
        </w:numPr>
        <w:tabs>
          <w:tab w:val="left" w:pos="426"/>
        </w:tabs>
        <w:suppressAutoHyphens/>
        <w:jc w:val="both"/>
        <w:rPr>
          <w:sz w:val="22"/>
          <w:szCs w:val="22"/>
        </w:rPr>
      </w:pPr>
      <w:r>
        <w:rPr>
          <w:sz w:val="22"/>
          <w:szCs w:val="22"/>
        </w:rPr>
        <w:t xml:space="preserve">Roboty ziemne </w:t>
      </w:r>
    </w:p>
    <w:p w:rsidR="00A57924" w:rsidRDefault="00A57924" w:rsidP="00A57924">
      <w:pPr>
        <w:numPr>
          <w:ilvl w:val="0"/>
          <w:numId w:val="62"/>
        </w:numPr>
        <w:tabs>
          <w:tab w:val="left" w:pos="426"/>
        </w:tabs>
        <w:suppressAutoHyphens/>
        <w:jc w:val="both"/>
        <w:rPr>
          <w:sz w:val="22"/>
          <w:szCs w:val="22"/>
        </w:rPr>
      </w:pPr>
      <w:r>
        <w:rPr>
          <w:sz w:val="22"/>
          <w:szCs w:val="22"/>
        </w:rPr>
        <w:t xml:space="preserve">Układanie linii kablowych YAKXS 5x35mm2 </w:t>
      </w:r>
    </w:p>
    <w:p w:rsidR="00A57924" w:rsidRDefault="00A57924" w:rsidP="00A57924">
      <w:pPr>
        <w:numPr>
          <w:ilvl w:val="0"/>
          <w:numId w:val="62"/>
        </w:numPr>
        <w:tabs>
          <w:tab w:val="left" w:pos="426"/>
        </w:tabs>
        <w:suppressAutoHyphens/>
        <w:jc w:val="both"/>
        <w:rPr>
          <w:sz w:val="22"/>
          <w:szCs w:val="22"/>
        </w:rPr>
      </w:pPr>
      <w:r>
        <w:rPr>
          <w:sz w:val="22"/>
          <w:szCs w:val="22"/>
        </w:rPr>
        <w:t xml:space="preserve">Montaż szafki oświetleniowej dwukomorowej </w:t>
      </w:r>
    </w:p>
    <w:p w:rsidR="00A57924" w:rsidRDefault="00A57924" w:rsidP="00A57924">
      <w:pPr>
        <w:numPr>
          <w:ilvl w:val="0"/>
          <w:numId w:val="62"/>
        </w:numPr>
        <w:tabs>
          <w:tab w:val="left" w:pos="426"/>
        </w:tabs>
        <w:suppressAutoHyphens/>
        <w:jc w:val="both"/>
        <w:rPr>
          <w:sz w:val="22"/>
          <w:szCs w:val="22"/>
        </w:rPr>
      </w:pPr>
      <w:r>
        <w:rPr>
          <w:sz w:val="22"/>
          <w:szCs w:val="22"/>
        </w:rPr>
        <w:t>Ułożenie rur ochronnych pod drogami koloru czarnego sztywnych gładkościennych</w:t>
      </w:r>
    </w:p>
    <w:p w:rsidR="00A57924" w:rsidRDefault="00A57924" w:rsidP="00A57924">
      <w:pPr>
        <w:numPr>
          <w:ilvl w:val="0"/>
          <w:numId w:val="62"/>
        </w:numPr>
        <w:tabs>
          <w:tab w:val="left" w:pos="426"/>
        </w:tabs>
        <w:suppressAutoHyphens/>
        <w:jc w:val="both"/>
        <w:rPr>
          <w:sz w:val="22"/>
          <w:szCs w:val="22"/>
        </w:rPr>
      </w:pPr>
      <w:r>
        <w:rPr>
          <w:sz w:val="22"/>
          <w:szCs w:val="22"/>
        </w:rPr>
        <w:t>Ułożenie rur ochronnych gładkościennych wewnątrz karbowanych z zewnątrz koloru niebieskiego</w:t>
      </w:r>
    </w:p>
    <w:p w:rsidR="00A57924" w:rsidRDefault="00A57924" w:rsidP="00A57924">
      <w:pPr>
        <w:numPr>
          <w:ilvl w:val="0"/>
          <w:numId w:val="62"/>
        </w:numPr>
        <w:tabs>
          <w:tab w:val="left" w:pos="426"/>
        </w:tabs>
        <w:suppressAutoHyphens/>
        <w:jc w:val="both"/>
        <w:rPr>
          <w:sz w:val="22"/>
          <w:szCs w:val="22"/>
        </w:rPr>
      </w:pPr>
      <w:r w:rsidRPr="00915863">
        <w:rPr>
          <w:sz w:val="22"/>
          <w:szCs w:val="22"/>
        </w:rPr>
        <w:t>Montaż opraw oświetleniowych drogowych 32 szt. LED 38</w:t>
      </w:r>
      <w:r>
        <w:rPr>
          <w:sz w:val="22"/>
          <w:szCs w:val="22"/>
        </w:rPr>
        <w:t>W,</w:t>
      </w:r>
    </w:p>
    <w:p w:rsidR="00A57924" w:rsidRDefault="00A57924" w:rsidP="00A57924">
      <w:pPr>
        <w:numPr>
          <w:ilvl w:val="0"/>
          <w:numId w:val="62"/>
        </w:numPr>
        <w:tabs>
          <w:tab w:val="left" w:pos="426"/>
        </w:tabs>
        <w:suppressAutoHyphens/>
        <w:jc w:val="both"/>
        <w:rPr>
          <w:sz w:val="22"/>
          <w:szCs w:val="22"/>
        </w:rPr>
      </w:pPr>
      <w:r w:rsidRPr="00915863">
        <w:rPr>
          <w:sz w:val="22"/>
          <w:szCs w:val="22"/>
        </w:rPr>
        <w:t xml:space="preserve">Montaż słupów oświetleniowych h=7m – 31 szt. należy zastosować słupy stalowe ocynkowane ośmiokątne gr. ścianki słupa 4 mm, </w:t>
      </w:r>
    </w:p>
    <w:p w:rsidR="00A57924" w:rsidRDefault="00A57924" w:rsidP="00A57924">
      <w:pPr>
        <w:numPr>
          <w:ilvl w:val="0"/>
          <w:numId w:val="62"/>
        </w:numPr>
        <w:tabs>
          <w:tab w:val="left" w:pos="426"/>
        </w:tabs>
        <w:suppressAutoHyphens/>
        <w:jc w:val="both"/>
        <w:rPr>
          <w:sz w:val="22"/>
          <w:szCs w:val="22"/>
        </w:rPr>
      </w:pPr>
      <w:r>
        <w:rPr>
          <w:sz w:val="22"/>
          <w:szCs w:val="22"/>
        </w:rPr>
        <w:t xml:space="preserve">Montaż fundamentów F-120/43 zabezpieczonych lepikiem </w:t>
      </w:r>
      <w:proofErr w:type="spellStart"/>
      <w:r>
        <w:rPr>
          <w:sz w:val="22"/>
          <w:szCs w:val="22"/>
        </w:rPr>
        <w:t>hydroizolacyjnym</w:t>
      </w:r>
      <w:proofErr w:type="spellEnd"/>
      <w:r>
        <w:rPr>
          <w:sz w:val="22"/>
          <w:szCs w:val="22"/>
        </w:rPr>
        <w:t xml:space="preserve"> lub jutą asfaltową,</w:t>
      </w:r>
    </w:p>
    <w:p w:rsidR="00A57924" w:rsidRDefault="00A57924" w:rsidP="00A57924">
      <w:pPr>
        <w:numPr>
          <w:ilvl w:val="0"/>
          <w:numId w:val="62"/>
        </w:numPr>
        <w:tabs>
          <w:tab w:val="left" w:pos="426"/>
        </w:tabs>
        <w:suppressAutoHyphens/>
        <w:jc w:val="both"/>
        <w:rPr>
          <w:sz w:val="22"/>
          <w:szCs w:val="22"/>
        </w:rPr>
      </w:pPr>
      <w:r>
        <w:rPr>
          <w:sz w:val="22"/>
          <w:szCs w:val="22"/>
        </w:rPr>
        <w:t>Montaż wysięgników 1m nachylenie 0</w:t>
      </w:r>
      <w:r>
        <w:rPr>
          <w:sz w:val="22"/>
          <w:szCs w:val="22"/>
          <w:vertAlign w:val="superscript"/>
        </w:rPr>
        <w:t>o</w:t>
      </w:r>
      <w:r>
        <w:rPr>
          <w:sz w:val="22"/>
          <w:szCs w:val="22"/>
        </w:rPr>
        <w:t xml:space="preserve"> – pojedynczy – 30 szt., </w:t>
      </w:r>
    </w:p>
    <w:p w:rsidR="00A57924" w:rsidRDefault="00A57924" w:rsidP="00A57924">
      <w:pPr>
        <w:numPr>
          <w:ilvl w:val="0"/>
          <w:numId w:val="62"/>
        </w:numPr>
        <w:tabs>
          <w:tab w:val="left" w:pos="426"/>
        </w:tabs>
        <w:suppressAutoHyphens/>
        <w:jc w:val="both"/>
        <w:rPr>
          <w:sz w:val="22"/>
          <w:szCs w:val="22"/>
        </w:rPr>
      </w:pPr>
      <w:r>
        <w:rPr>
          <w:sz w:val="22"/>
          <w:szCs w:val="22"/>
        </w:rPr>
        <w:t>Montaż wysięgników 1m nachylenie  0</w:t>
      </w:r>
      <w:r>
        <w:rPr>
          <w:sz w:val="22"/>
          <w:szCs w:val="22"/>
          <w:vertAlign w:val="superscript"/>
        </w:rPr>
        <w:t>o</w:t>
      </w:r>
      <w:r>
        <w:rPr>
          <w:sz w:val="22"/>
          <w:szCs w:val="22"/>
        </w:rPr>
        <w:t xml:space="preserve"> – podwójny – 1 szt.,</w:t>
      </w:r>
    </w:p>
    <w:p w:rsidR="00A57924" w:rsidRPr="00D07D8F" w:rsidRDefault="00A57924" w:rsidP="00A57924">
      <w:pPr>
        <w:numPr>
          <w:ilvl w:val="0"/>
          <w:numId w:val="62"/>
        </w:numPr>
        <w:tabs>
          <w:tab w:val="left" w:pos="426"/>
        </w:tabs>
        <w:suppressAutoHyphens/>
        <w:jc w:val="both"/>
        <w:rPr>
          <w:sz w:val="22"/>
          <w:szCs w:val="22"/>
        </w:rPr>
      </w:pPr>
      <w:r>
        <w:rPr>
          <w:sz w:val="22"/>
          <w:szCs w:val="22"/>
        </w:rPr>
        <w:t>Demontaż istniejącego oświetlenia własność ENERGA – Oświetlenie wraz ze zdaniem materiału.  Oprawy oświetleniowe 16 sztuk, demontaż przewodów nieizolowanych linii NN o przekroju do 50mm2 z przeznaczeniem na złom</w:t>
      </w:r>
    </w:p>
    <w:p w:rsidR="00A57924" w:rsidRDefault="00A57924" w:rsidP="00A57924">
      <w:pPr>
        <w:numPr>
          <w:ilvl w:val="0"/>
          <w:numId w:val="62"/>
        </w:numPr>
        <w:tabs>
          <w:tab w:val="left" w:pos="426"/>
        </w:tabs>
        <w:suppressAutoHyphens/>
        <w:jc w:val="both"/>
        <w:rPr>
          <w:sz w:val="22"/>
          <w:szCs w:val="22"/>
        </w:rPr>
      </w:pPr>
      <w:r>
        <w:rPr>
          <w:sz w:val="22"/>
          <w:szCs w:val="22"/>
        </w:rPr>
        <w:t>Zakres prac i szczegółowy opis przedmiotu zamówienia zgodnie z opisem w dokumentacji i przedmiarem.</w:t>
      </w:r>
    </w:p>
    <w:p w:rsidR="00CC5B8B" w:rsidRPr="00015D59" w:rsidRDefault="00CC5B8B" w:rsidP="00CC5B8B">
      <w:pPr>
        <w:tabs>
          <w:tab w:val="left" w:pos="426"/>
        </w:tabs>
        <w:ind w:left="1080"/>
        <w:jc w:val="both"/>
        <w:rPr>
          <w:b/>
          <w:color w:val="FF0000"/>
        </w:rPr>
      </w:pPr>
      <w:r w:rsidRPr="00015D59">
        <w:rPr>
          <w:b/>
          <w:color w:val="FF0000"/>
        </w:rPr>
        <w:t>Ważne!</w:t>
      </w:r>
    </w:p>
    <w:p w:rsidR="00CC5B8B" w:rsidRPr="00015D59" w:rsidRDefault="00CC5B8B" w:rsidP="00CC5B8B">
      <w:pPr>
        <w:tabs>
          <w:tab w:val="left" w:pos="426"/>
        </w:tabs>
        <w:ind w:left="1080"/>
        <w:jc w:val="both"/>
      </w:pPr>
      <w:r w:rsidRPr="00015D59">
        <w:t xml:space="preserve">Wykonawca zobowiązany jest do opracowania dokumentacji zabezpieczenia robót </w:t>
      </w:r>
      <w:r w:rsidRPr="00015D59">
        <w:br/>
        <w:t>i uzyskania uzgodnień.</w:t>
      </w:r>
    </w:p>
    <w:p w:rsidR="00CC5B8B" w:rsidRPr="00015D59" w:rsidRDefault="00CC5B8B" w:rsidP="00CC5B8B">
      <w:pPr>
        <w:tabs>
          <w:tab w:val="left" w:pos="426"/>
        </w:tabs>
        <w:ind w:left="1080"/>
        <w:rPr>
          <w:b/>
          <w:color w:val="FF0000"/>
        </w:rPr>
      </w:pPr>
      <w:r w:rsidRPr="00015D59">
        <w:rPr>
          <w:b/>
          <w:color w:val="FF0000"/>
        </w:rPr>
        <w:t>Uwaga!</w:t>
      </w:r>
    </w:p>
    <w:p w:rsidR="00CC5B8B" w:rsidRPr="00015D59" w:rsidRDefault="00CC5B8B" w:rsidP="00CC5B8B">
      <w:pPr>
        <w:tabs>
          <w:tab w:val="left" w:pos="426"/>
        </w:tabs>
        <w:ind w:left="1080"/>
        <w:jc w:val="both"/>
      </w:pPr>
      <w:r w:rsidRPr="00015D59">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F3218C">
      <w:pPr>
        <w:pStyle w:val="Akapitzlist"/>
        <w:numPr>
          <w:ilvl w:val="3"/>
          <w:numId w:val="19"/>
        </w:numPr>
        <w:autoSpaceDE w:val="0"/>
        <w:autoSpaceDN w:val="0"/>
        <w:adjustRightInd w:val="0"/>
        <w:ind w:left="284" w:hanging="284"/>
        <w:jc w:val="both"/>
        <w:rPr>
          <w:color w:val="000000"/>
        </w:rPr>
      </w:pPr>
      <w:r w:rsidRPr="004824A0">
        <w:rPr>
          <w:color w:val="000000"/>
        </w:rPr>
        <w:t xml:space="preserve">Przedmiot zamówienia został szczegółowo opisany w Rozdziale </w:t>
      </w:r>
      <w:r w:rsidR="00E8631A">
        <w:rPr>
          <w:color w:val="000000"/>
        </w:rPr>
        <w:t>„C”</w:t>
      </w:r>
      <w:r w:rsidR="00F3218C">
        <w:rPr>
          <w:color w:val="000000"/>
        </w:rPr>
        <w:t xml:space="preserve">, „E” </w:t>
      </w:r>
      <w:r w:rsidRPr="004824A0">
        <w:rPr>
          <w:color w:val="000000"/>
        </w:rPr>
        <w:t>SIWZ.</w:t>
      </w:r>
    </w:p>
    <w:p w:rsidR="00F009FF" w:rsidRDefault="00F009FF" w:rsidP="00F3218C">
      <w:pPr>
        <w:pStyle w:val="Akapitzlist"/>
        <w:numPr>
          <w:ilvl w:val="3"/>
          <w:numId w:val="19"/>
        </w:numPr>
        <w:autoSpaceDE w:val="0"/>
        <w:autoSpaceDN w:val="0"/>
        <w:adjustRightInd w:val="0"/>
        <w:ind w:left="284" w:hanging="284"/>
        <w:jc w:val="both"/>
        <w:rPr>
          <w:color w:val="000000"/>
        </w:rPr>
      </w:pPr>
      <w:r>
        <w:rPr>
          <w:color w:val="000000"/>
        </w:rPr>
        <w:t>Kody CPV:</w:t>
      </w:r>
    </w:p>
    <w:p w:rsidR="00173392" w:rsidRDefault="00173392" w:rsidP="00D173DD">
      <w:pPr>
        <w:tabs>
          <w:tab w:val="left" w:pos="426"/>
        </w:tabs>
        <w:autoSpaceDE w:val="0"/>
        <w:autoSpaceDN w:val="0"/>
        <w:adjustRightInd w:val="0"/>
        <w:spacing w:before="40" w:after="40"/>
        <w:ind w:left="426"/>
        <w:jc w:val="both"/>
        <w:rPr>
          <w:rFonts w:eastAsia="Calibri"/>
          <w:b/>
          <w:color w:val="00B050"/>
          <w:szCs w:val="20"/>
          <w:lang w:eastAsia="en-US"/>
        </w:rPr>
      </w:pPr>
      <w:r>
        <w:rPr>
          <w:rFonts w:eastAsia="Calibri"/>
          <w:b/>
          <w:color w:val="00B050"/>
          <w:szCs w:val="20"/>
          <w:lang w:eastAsia="en-US"/>
        </w:rPr>
        <w:t>45.00.00.00-7 – Roboty budowlane</w:t>
      </w:r>
    </w:p>
    <w:p w:rsidR="00CC5B8B" w:rsidRPr="0040721D" w:rsidRDefault="00CC5B8B" w:rsidP="00D173DD">
      <w:pPr>
        <w:tabs>
          <w:tab w:val="left" w:pos="426"/>
        </w:tabs>
        <w:autoSpaceDE w:val="0"/>
        <w:autoSpaceDN w:val="0"/>
        <w:adjustRightInd w:val="0"/>
        <w:spacing w:before="40" w:after="40"/>
        <w:ind w:left="426"/>
        <w:jc w:val="both"/>
        <w:rPr>
          <w:rFonts w:eastAsia="Calibri"/>
          <w:b/>
          <w:color w:val="00B050"/>
          <w:szCs w:val="20"/>
          <w:lang w:eastAsia="en-US"/>
        </w:rPr>
      </w:pPr>
      <w:r w:rsidRPr="0040721D">
        <w:rPr>
          <w:rFonts w:eastAsia="Calibri"/>
          <w:b/>
          <w:color w:val="00B050"/>
          <w:szCs w:val="20"/>
          <w:lang w:eastAsia="en-US"/>
        </w:rPr>
        <w:t>45.3</w:t>
      </w:r>
      <w:r w:rsidR="0040721D">
        <w:rPr>
          <w:rFonts w:eastAsia="Calibri"/>
          <w:b/>
          <w:color w:val="00B050"/>
          <w:szCs w:val="20"/>
          <w:lang w:eastAsia="en-US"/>
        </w:rPr>
        <w:t>1.61.</w:t>
      </w:r>
      <w:r w:rsidR="00173392">
        <w:rPr>
          <w:rFonts w:eastAsia="Calibri"/>
          <w:b/>
          <w:color w:val="00B050"/>
          <w:szCs w:val="20"/>
          <w:lang w:eastAsia="en-US"/>
        </w:rPr>
        <w:t>1</w:t>
      </w:r>
      <w:r w:rsidR="0040721D">
        <w:rPr>
          <w:rFonts w:eastAsia="Calibri"/>
          <w:b/>
          <w:color w:val="00B050"/>
          <w:szCs w:val="20"/>
          <w:lang w:eastAsia="en-US"/>
        </w:rPr>
        <w:t>0-</w:t>
      </w:r>
      <w:r w:rsidR="00173392">
        <w:rPr>
          <w:rFonts w:eastAsia="Calibri"/>
          <w:b/>
          <w:color w:val="00B050"/>
          <w:szCs w:val="20"/>
          <w:lang w:eastAsia="en-US"/>
        </w:rPr>
        <w:t>9</w:t>
      </w:r>
      <w:r w:rsidRPr="0040721D">
        <w:rPr>
          <w:rFonts w:eastAsia="Calibri"/>
          <w:b/>
          <w:color w:val="00B050"/>
          <w:szCs w:val="20"/>
          <w:lang w:eastAsia="en-US"/>
        </w:rPr>
        <w:t xml:space="preserve"> – </w:t>
      </w:r>
      <w:r w:rsidR="00F009FF">
        <w:rPr>
          <w:rFonts w:eastAsia="Calibri"/>
          <w:b/>
          <w:color w:val="00B050"/>
          <w:szCs w:val="20"/>
          <w:lang w:eastAsia="en-US"/>
        </w:rPr>
        <w:t>Instalowanie urządzeń oświetlenia drogowego</w:t>
      </w:r>
      <w:r w:rsidRPr="0040721D">
        <w:rPr>
          <w:rFonts w:eastAsia="Calibri"/>
          <w:b/>
          <w:color w:val="00B050"/>
          <w:szCs w:val="20"/>
          <w:lang w:eastAsia="en-US"/>
        </w:rPr>
        <w:t xml:space="preserve"> </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D173DD" w:rsidRDefault="00B90881" w:rsidP="00504ECB">
      <w:pPr>
        <w:pStyle w:val="Akapitzlist"/>
        <w:numPr>
          <w:ilvl w:val="3"/>
          <w:numId w:val="19"/>
        </w:numPr>
        <w:tabs>
          <w:tab w:val="left" w:pos="1134"/>
        </w:tabs>
        <w:autoSpaceDE w:val="0"/>
        <w:autoSpaceDN w:val="0"/>
        <w:adjustRightInd w:val="0"/>
        <w:spacing w:before="40" w:after="40"/>
        <w:ind w:left="284"/>
        <w:jc w:val="both"/>
        <w:rPr>
          <w:bCs/>
        </w:rPr>
      </w:pPr>
      <w:r w:rsidRPr="00D173DD">
        <w:rPr>
          <w:bCs/>
        </w:rPr>
        <w:t xml:space="preserve">Zamawiający </w:t>
      </w:r>
      <w:r w:rsidR="00CC5B8B" w:rsidRPr="00CC5B8B">
        <w:rPr>
          <w:b/>
          <w:bCs/>
          <w:color w:val="FF0000"/>
        </w:rPr>
        <w:t xml:space="preserve">nie </w:t>
      </w:r>
      <w:r w:rsidRPr="00CC5B8B">
        <w:rPr>
          <w:b/>
          <w:bCs/>
          <w:color w:val="FF0000"/>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ust. 1 pkt 6 ustawy – Prawo zamówień publicznych.</w:t>
      </w:r>
    </w:p>
    <w:p w:rsidR="00B90881" w:rsidRPr="00CC5B8B" w:rsidRDefault="00B90881" w:rsidP="00504ECB">
      <w:pPr>
        <w:pStyle w:val="Akapitzlist"/>
        <w:numPr>
          <w:ilvl w:val="3"/>
          <w:numId w:val="19"/>
        </w:numPr>
        <w:tabs>
          <w:tab w:val="left" w:pos="1134"/>
        </w:tabs>
        <w:autoSpaceDE w:val="0"/>
        <w:autoSpaceDN w:val="0"/>
        <w:adjustRightInd w:val="0"/>
        <w:spacing w:before="40" w:after="40"/>
        <w:ind w:left="284"/>
        <w:jc w:val="both"/>
        <w:rPr>
          <w:b/>
          <w:bCs/>
        </w:rPr>
      </w:pPr>
      <w:r w:rsidRPr="00CC5B8B">
        <w:rPr>
          <w:b/>
          <w:bCs/>
        </w:rPr>
        <w:t xml:space="preserve">Zamawiający wymaga zatrudnienia </w:t>
      </w:r>
      <w:r w:rsidR="00416BBC" w:rsidRPr="00CC5B8B">
        <w:rPr>
          <w:b/>
          <w:bCs/>
        </w:rPr>
        <w:t>przez Wykonawcę lub podwykonawców</w:t>
      </w:r>
      <w:r w:rsidRPr="00CC5B8B">
        <w:rPr>
          <w:b/>
          <w:bCs/>
        </w:rPr>
        <w:t xml:space="preserve"> na podstawie umowy o pracę osób wykonujących czynności w zakresie realizacji zamówienia, </w:t>
      </w:r>
      <w:r w:rsidR="00D67C4A" w:rsidRPr="00CC5B8B">
        <w:rPr>
          <w:b/>
          <w:bCs/>
        </w:rPr>
        <w:t>dotyczących prac objętych przedmiotem umowy, niżej wymienionych:</w:t>
      </w:r>
    </w:p>
    <w:p w:rsidR="00CC5B8B" w:rsidRPr="00C31BD0" w:rsidRDefault="00D13DEA" w:rsidP="00D13DEA">
      <w:pPr>
        <w:tabs>
          <w:tab w:val="left" w:pos="1134"/>
        </w:tabs>
        <w:autoSpaceDE w:val="0"/>
        <w:autoSpaceDN w:val="0"/>
        <w:adjustRightInd w:val="0"/>
        <w:spacing w:before="40" w:after="40"/>
        <w:ind w:left="284"/>
        <w:jc w:val="both"/>
        <w:rPr>
          <w:iCs/>
          <w:sz w:val="22"/>
          <w:szCs w:val="22"/>
        </w:rPr>
      </w:pPr>
      <w:r>
        <w:rPr>
          <w:bCs/>
        </w:rPr>
        <w:t xml:space="preserve">- </w:t>
      </w:r>
      <w:r w:rsidR="00C31BD0" w:rsidRPr="00C31BD0">
        <w:rPr>
          <w:bCs/>
        </w:rPr>
        <w:t>pr</w:t>
      </w:r>
      <w:r w:rsidR="00CC5B8B" w:rsidRPr="00C31BD0">
        <w:rPr>
          <w:iCs/>
          <w:sz w:val="22"/>
          <w:szCs w:val="22"/>
        </w:rPr>
        <w:t xml:space="preserve">ace instalacyjne do 1 </w:t>
      </w:r>
      <w:proofErr w:type="spellStart"/>
      <w:r w:rsidR="00CC5B8B" w:rsidRPr="00C31BD0">
        <w:rPr>
          <w:iCs/>
          <w:sz w:val="22"/>
          <w:szCs w:val="22"/>
        </w:rPr>
        <w:t>kV</w:t>
      </w:r>
      <w:proofErr w:type="spellEnd"/>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8B2CB7" w:rsidRDefault="001D01C3" w:rsidP="00816EC1">
      <w:pPr>
        <w:autoSpaceDE w:val="0"/>
        <w:autoSpaceDN w:val="0"/>
        <w:adjustRightInd w:val="0"/>
        <w:spacing w:after="120"/>
        <w:ind w:left="425"/>
        <w:rPr>
          <w:b/>
          <w:bCs/>
          <w:color w:val="FF000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r w:rsidR="00B73CB0" w:rsidRPr="00B22BDA">
        <w:rPr>
          <w:b/>
          <w:bCs/>
          <w:color w:val="FF0000"/>
        </w:rPr>
        <w:t xml:space="preserve">do </w:t>
      </w:r>
      <w:r w:rsidR="00C700F2">
        <w:rPr>
          <w:b/>
          <w:bCs/>
          <w:color w:val="FF0000"/>
        </w:rPr>
        <w:t>29</w:t>
      </w:r>
      <w:r w:rsidR="00587E5E" w:rsidRPr="00B22BDA">
        <w:rPr>
          <w:b/>
          <w:bCs/>
          <w:color w:val="FF0000"/>
        </w:rPr>
        <w:t>.</w:t>
      </w:r>
      <w:r w:rsidR="00B22BDA" w:rsidRPr="00B22BDA">
        <w:rPr>
          <w:b/>
          <w:bCs/>
          <w:color w:val="FF0000"/>
        </w:rPr>
        <w:t>0</w:t>
      </w:r>
      <w:r w:rsidR="00C700F2">
        <w:rPr>
          <w:b/>
          <w:bCs/>
          <w:color w:val="FF0000"/>
        </w:rPr>
        <w:t>9</w:t>
      </w:r>
      <w:r w:rsidR="00587E5E" w:rsidRPr="00B22BDA">
        <w:rPr>
          <w:b/>
          <w:bCs/>
          <w:color w:val="FF0000"/>
        </w:rPr>
        <w:t>.201</w:t>
      </w:r>
      <w:r w:rsidR="00B22BDA" w:rsidRPr="00B22BDA">
        <w:rPr>
          <w:b/>
          <w:bCs/>
          <w:color w:val="FF0000"/>
        </w:rPr>
        <w:t>7</w:t>
      </w:r>
      <w:r w:rsidR="00587E5E" w:rsidRPr="00B22BDA">
        <w:rPr>
          <w:b/>
          <w:bCs/>
          <w:color w:val="FF0000"/>
        </w:rPr>
        <w:t xml:space="preserve"> </w:t>
      </w:r>
      <w:r w:rsidR="00B73CB0" w:rsidRPr="00B22BDA">
        <w:rPr>
          <w:b/>
          <w:bCs/>
          <w:color w:val="FF0000"/>
        </w:rPr>
        <w:t>r.</w:t>
      </w:r>
    </w:p>
    <w:p w:rsidR="00816EC1" w:rsidRDefault="00816EC1" w:rsidP="00CC753D">
      <w:pPr>
        <w:autoSpaceDE w:val="0"/>
        <w:autoSpaceDN w:val="0"/>
        <w:adjustRightInd w:val="0"/>
        <w:spacing w:after="120"/>
        <w:ind w:left="425"/>
        <w:jc w:val="both"/>
        <w:rPr>
          <w:b/>
          <w:bCs/>
          <w:color w:val="FF0000"/>
        </w:rPr>
      </w:pPr>
      <w:r w:rsidRPr="00CC753D">
        <w:rPr>
          <w:b/>
          <w:bCs/>
        </w:rPr>
        <w:t xml:space="preserve">Okres rękojmi </w:t>
      </w:r>
      <w:r>
        <w:rPr>
          <w:b/>
          <w:bCs/>
          <w:color w:val="FF0000"/>
        </w:rPr>
        <w:t>- minimalny okres rękojmi wynosi 36 miesięcy, maksymalny 60 miesięcy.</w:t>
      </w:r>
    </w:p>
    <w:p w:rsidR="00816EC1" w:rsidRPr="00B22BDA" w:rsidRDefault="00816EC1" w:rsidP="00816EC1">
      <w:pPr>
        <w:autoSpaceDE w:val="0"/>
        <w:autoSpaceDN w:val="0"/>
        <w:adjustRightInd w:val="0"/>
        <w:spacing w:after="120"/>
        <w:ind w:left="425"/>
        <w:rPr>
          <w:b/>
          <w:bCs/>
          <w:color w:val="FF0000"/>
        </w:rPr>
      </w:pPr>
      <w:r w:rsidRPr="00CC753D">
        <w:rPr>
          <w:b/>
          <w:bCs/>
        </w:rPr>
        <w:t xml:space="preserve">Okres gwarancji </w:t>
      </w:r>
      <w:r w:rsidR="00CC753D">
        <w:rPr>
          <w:b/>
          <w:bCs/>
        </w:rPr>
        <w:t xml:space="preserve">jakości </w:t>
      </w:r>
      <w:r>
        <w:rPr>
          <w:b/>
          <w:bCs/>
          <w:color w:val="FF0000"/>
        </w:rPr>
        <w:t>– wynosi 60 miesięcy.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0F465F">
      <w:pPr>
        <w:numPr>
          <w:ilvl w:val="1"/>
          <w:numId w:val="6"/>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6060B4">
      <w:pPr>
        <w:pStyle w:val="Nagwek"/>
        <w:numPr>
          <w:ilvl w:val="0"/>
          <w:numId w:val="35"/>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6060B4">
      <w:pPr>
        <w:pStyle w:val="Nagwek"/>
        <w:numPr>
          <w:ilvl w:val="0"/>
          <w:numId w:val="35"/>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6060B4">
      <w:pPr>
        <w:pStyle w:val="Nagwek"/>
        <w:numPr>
          <w:ilvl w:val="2"/>
          <w:numId w:val="6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6060B4">
      <w:pPr>
        <w:pStyle w:val="Nagwek"/>
        <w:numPr>
          <w:ilvl w:val="2"/>
          <w:numId w:val="6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1C1036" w:rsidRPr="00B22BDA" w:rsidRDefault="007B46A9" w:rsidP="006060B4">
      <w:pPr>
        <w:pStyle w:val="Nagwek"/>
        <w:numPr>
          <w:ilvl w:val="2"/>
          <w:numId w:val="6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127D8C" w:rsidRPr="00127D8C" w:rsidRDefault="00587E5E" w:rsidP="006060B4">
      <w:pPr>
        <w:pStyle w:val="Nagwek"/>
        <w:numPr>
          <w:ilvl w:val="3"/>
          <w:numId w:val="6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AB003E">
        <w:rPr>
          <w:b/>
        </w:rPr>
        <w:br/>
      </w:r>
      <w:r w:rsidR="00CB290B" w:rsidRPr="00127D8C">
        <w:rPr>
          <w:b/>
        </w:rPr>
        <w:t>w tym okresie</w:t>
      </w:r>
      <w:r w:rsidR="00127D8C" w:rsidRPr="00127D8C">
        <w:rPr>
          <w:b/>
        </w:rPr>
        <w:t>:</w:t>
      </w:r>
      <w:r w:rsidR="00CB290B" w:rsidRPr="00127D8C">
        <w:t xml:space="preserve"> </w:t>
      </w:r>
    </w:p>
    <w:p w:rsidR="00876C29" w:rsidRPr="006060B4" w:rsidRDefault="00876C29" w:rsidP="006060B4">
      <w:pPr>
        <w:pStyle w:val="Akapitzlist"/>
        <w:numPr>
          <w:ilvl w:val="0"/>
          <w:numId w:val="67"/>
        </w:numPr>
        <w:autoSpaceDE w:val="0"/>
        <w:autoSpaceDN w:val="0"/>
        <w:adjustRightInd w:val="0"/>
        <w:jc w:val="both"/>
        <w:rPr>
          <w:b/>
          <w:bCs/>
          <w:color w:val="FF0000"/>
        </w:rPr>
      </w:pPr>
      <w:r w:rsidRPr="006060B4">
        <w:rPr>
          <w:b/>
          <w:bCs/>
          <w:color w:val="FF0000"/>
        </w:rPr>
        <w:t xml:space="preserve">min. 3 zadania obejmujące budowę/ przebudowę oświetlenia drogowego </w:t>
      </w:r>
      <w:r w:rsidR="00AB003E">
        <w:rPr>
          <w:b/>
          <w:bCs/>
          <w:color w:val="FF0000"/>
        </w:rPr>
        <w:br/>
      </w:r>
      <w:r w:rsidR="00A53C63" w:rsidRPr="006060B4">
        <w:rPr>
          <w:b/>
          <w:bCs/>
          <w:color w:val="FF0000"/>
        </w:rPr>
        <w:t xml:space="preserve">o wartości minimum </w:t>
      </w:r>
      <w:r w:rsidRPr="006060B4">
        <w:rPr>
          <w:b/>
          <w:bCs/>
          <w:color w:val="FF0000"/>
        </w:rPr>
        <w:t>100</w:t>
      </w:r>
      <w:r w:rsidR="00E368D2">
        <w:rPr>
          <w:b/>
          <w:bCs/>
          <w:color w:val="FF0000"/>
        </w:rPr>
        <w:t xml:space="preserve"> </w:t>
      </w:r>
      <w:r w:rsidRPr="006060B4">
        <w:rPr>
          <w:b/>
          <w:bCs/>
          <w:color w:val="FF0000"/>
        </w:rPr>
        <w:t>000,00</w:t>
      </w:r>
      <w:r w:rsidR="0084343B">
        <w:rPr>
          <w:b/>
          <w:bCs/>
          <w:color w:val="FF0000"/>
        </w:rPr>
        <w:t xml:space="preserve"> </w:t>
      </w:r>
      <w:r w:rsidRPr="006060B4">
        <w:rPr>
          <w:b/>
          <w:bCs/>
          <w:color w:val="FF0000"/>
        </w:rPr>
        <w:t>zł netto każde zadanie.</w:t>
      </w:r>
    </w:p>
    <w:p w:rsidR="00D155DA" w:rsidRDefault="00D155DA" w:rsidP="008739EA">
      <w:pPr>
        <w:autoSpaceDE w:val="0"/>
        <w:autoSpaceDN w:val="0"/>
        <w:adjustRightInd w:val="0"/>
        <w:ind w:left="627" w:firstLine="57"/>
        <w:jc w:val="both"/>
        <w:rPr>
          <w:color w:val="00B050"/>
        </w:rPr>
      </w:pPr>
    </w:p>
    <w:p w:rsidR="00D95378" w:rsidRPr="00D155DA" w:rsidRDefault="00E40263" w:rsidP="00D155DA">
      <w:pPr>
        <w:pStyle w:val="Akapitzlist"/>
        <w:numPr>
          <w:ilvl w:val="3"/>
          <w:numId w:val="66"/>
        </w:numPr>
        <w:autoSpaceDE w:val="0"/>
        <w:autoSpaceDN w:val="0"/>
        <w:adjustRightInd w:val="0"/>
        <w:jc w:val="both"/>
        <w:rPr>
          <w:color w:val="00B050"/>
        </w:rPr>
      </w:pPr>
      <w:r w:rsidRPr="00D155DA">
        <w:rPr>
          <w:b/>
        </w:rPr>
        <w:t xml:space="preserve">dysponuje </w:t>
      </w:r>
      <w:r w:rsidR="008A6189" w:rsidRPr="00D155DA">
        <w:rPr>
          <w:b/>
        </w:rPr>
        <w:t>osobami zdolnymi do wykonania zamówienia</w:t>
      </w:r>
      <w:r w:rsidRPr="00D155DA">
        <w:rPr>
          <w:b/>
        </w:rPr>
        <w:t xml:space="preserve">, które posiadają </w:t>
      </w:r>
      <w:r w:rsidR="00032D9A" w:rsidRPr="00D155DA">
        <w:rPr>
          <w:b/>
          <w:bCs/>
        </w:rPr>
        <w:t>n/w uprawnienia</w:t>
      </w:r>
      <w:r w:rsidR="00A46678" w:rsidRPr="00D155DA">
        <w:rPr>
          <w:b/>
          <w:bCs/>
        </w:rPr>
        <w:t xml:space="preserve"> i doświadczenie</w:t>
      </w:r>
      <w:r w:rsidR="008A6189" w:rsidRPr="00D155DA">
        <w:rPr>
          <w:b/>
          <w:bCs/>
        </w:rPr>
        <w:t>:</w:t>
      </w:r>
      <w:r w:rsidR="007C6A38" w:rsidRPr="00D155DA">
        <w:rPr>
          <w:b/>
          <w:bCs/>
        </w:rPr>
        <w:t xml:space="preserve"> </w:t>
      </w:r>
    </w:p>
    <w:p w:rsidR="00127D8C" w:rsidRPr="006060B4" w:rsidRDefault="006060B4" w:rsidP="006060B4">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p>
    <w:p w:rsidR="00876C29" w:rsidRPr="006060B4" w:rsidRDefault="00876C29" w:rsidP="006060B4">
      <w:pPr>
        <w:pStyle w:val="Akapitzlist"/>
        <w:numPr>
          <w:ilvl w:val="0"/>
          <w:numId w:val="68"/>
        </w:numPr>
        <w:autoSpaceDE w:val="0"/>
        <w:autoSpaceDN w:val="0"/>
        <w:adjustRightInd w:val="0"/>
        <w:jc w:val="both"/>
        <w:rPr>
          <w:b/>
          <w:color w:val="FF0000"/>
        </w:rPr>
      </w:pPr>
      <w:r w:rsidRPr="006060B4">
        <w:rPr>
          <w:b/>
          <w:color w:val="FF0000"/>
        </w:rPr>
        <w:t>jedną osobę posiadającą uprawnienia do wykonywania samodzielnych funkcji technicznych w budownictwie, która będzie pełnić przy realizacji tego zamówienia funkcję kierownika robót w branży instalacyjnej w zakresie sieci, instalacji i urządzeń elektrycznych i elektroenergetycznych oraz kwalifikacje grupy „D” i „E”.</w:t>
      </w:r>
    </w:p>
    <w:p w:rsidR="00127D8C" w:rsidRPr="00127D8C" w:rsidRDefault="00127D8C" w:rsidP="00127D8C">
      <w:pPr>
        <w:pStyle w:val="Akapitzlist"/>
        <w:autoSpaceDE w:val="0"/>
        <w:autoSpaceDN w:val="0"/>
        <w:adjustRightInd w:val="0"/>
        <w:ind w:left="1854"/>
        <w:jc w:val="both"/>
        <w:rPr>
          <w:b/>
          <w:color w:val="FF0000"/>
        </w:rPr>
      </w:pPr>
    </w:p>
    <w:p w:rsidR="00BA5F1A" w:rsidRPr="00B120B0" w:rsidRDefault="00BA5F1A" w:rsidP="00BA5F1A">
      <w:pPr>
        <w:autoSpaceDE w:val="0"/>
        <w:autoSpaceDN w:val="0"/>
        <w:adjustRightInd w:val="0"/>
        <w:ind w:left="284"/>
        <w:jc w:val="both"/>
      </w:pPr>
      <w:r w:rsidRPr="00B120B0">
        <w:t xml:space="preserve">W przypadku wykonawców wspólnie ubiegających się o udzielenie zamówienia, </w:t>
      </w:r>
      <w:r w:rsidRPr="00B120B0">
        <w:br/>
        <w:t xml:space="preserve">a także w przypadku, gdy wykonawca polega na zdolnościach technicznych lub zawodowych innych podmiotów, wykonaniem robót budowlanych określonych powyżej winien wykazać się jeden z wykonawców wspólnie ubiegających się </w:t>
      </w:r>
      <w:r w:rsidRPr="00B120B0">
        <w:br/>
        <w:t>o udzielenie zamówienia lub podmiot na którego zdolnościach technicznych lub zawodowych Wykonawca będzie polegał.</w:t>
      </w:r>
    </w:p>
    <w:p w:rsidR="00BA5F1A" w:rsidRDefault="00BA5F1A" w:rsidP="009F273C">
      <w:pPr>
        <w:autoSpaceDE w:val="0"/>
        <w:autoSpaceDN w:val="0"/>
        <w:adjustRightInd w:val="0"/>
        <w:spacing w:line="276" w:lineRule="auto"/>
        <w:ind w:left="284"/>
        <w:jc w:val="both"/>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23959">
      <w:pPr>
        <w:pStyle w:val="Nagwek"/>
        <w:numPr>
          <w:ilvl w:val="0"/>
          <w:numId w:val="38"/>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23959">
      <w:pPr>
        <w:pStyle w:val="Nagwek"/>
        <w:numPr>
          <w:ilvl w:val="0"/>
          <w:numId w:val="38"/>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Zamawiający zastos</w:t>
      </w:r>
      <w:r w:rsidR="001F23A4">
        <w:rPr>
          <w:b/>
        </w:rPr>
        <w:t xml:space="preserve">uje </w:t>
      </w:r>
      <w:r w:rsidRPr="00CB290B">
        <w:rPr>
          <w:b/>
        </w:rPr>
        <w:t>procedur</w:t>
      </w:r>
      <w:r w:rsidR="001F23A4">
        <w:rPr>
          <w:b/>
        </w:rPr>
        <w:t>ę</w:t>
      </w:r>
      <w:r w:rsidRPr="00CB290B">
        <w:rPr>
          <w:b/>
        </w:rPr>
        <w:t xml:space="preserve"> określon</w:t>
      </w:r>
      <w:r w:rsidR="001F23A4">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6060B4" w:rsidRPr="004824A0" w:rsidRDefault="006060B4"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904089">
        <w:rPr>
          <w:b/>
          <w:bCs/>
          <w:color w:val="FF0000"/>
        </w:rPr>
        <w:t>3 dni</w:t>
      </w:r>
      <w:r w:rsidRPr="00904089">
        <w:rPr>
          <w:bCs/>
          <w:color w:val="FF0000"/>
        </w:rPr>
        <w:t xml:space="preserve"> </w:t>
      </w:r>
      <w:r>
        <w:rPr>
          <w:bCs/>
        </w:rPr>
        <w:t>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0D32A7">
        <w:rPr>
          <w:b/>
          <w:bCs/>
          <w:color w:val="FF0000"/>
        </w:rPr>
        <w:t>6</w:t>
      </w:r>
      <w:r w:rsidR="00841AA3" w:rsidRPr="0085702B">
        <w:rPr>
          <w:bCs/>
          <w:color w:val="FF0000"/>
        </w:rPr>
        <w:t>)</w:t>
      </w:r>
      <w:r w:rsidRPr="0085702B">
        <w:rPr>
          <w:bCs/>
          <w:color w:val="FF0000"/>
        </w:rPr>
        <w:t>.</w:t>
      </w:r>
      <w:r w:rsidR="00904089">
        <w:rPr>
          <w:bCs/>
          <w:color w:val="FF0000"/>
        </w:rPr>
        <w:t xml:space="preserve"> </w:t>
      </w:r>
    </w:p>
    <w:p w:rsidR="00904089" w:rsidRPr="008D13D4" w:rsidRDefault="00904089" w:rsidP="008D13D4">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904089" w:rsidRPr="008D13D4" w:rsidRDefault="008D13D4" w:rsidP="00904089">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w:t>
      </w:r>
      <w:r w:rsidR="00904089" w:rsidRPr="008D13D4">
        <w:rPr>
          <w:b/>
          <w:bCs/>
          <w:i/>
          <w:color w:val="00B050"/>
          <w:u w:val="single"/>
        </w:rPr>
        <w:t>świadczenia o przynależności lub braku przynależności do tej samej grupy kapitałowej</w:t>
      </w:r>
      <w:r w:rsidR="00904089" w:rsidRPr="008D13D4">
        <w:rPr>
          <w:b/>
          <w:bCs/>
          <w:i/>
          <w:color w:val="00B050"/>
        </w:rPr>
        <w:t>, dowody potwierdzające, że powiązania z innym wykonawcą nie prowadzą d</w:t>
      </w:r>
      <w:r w:rsidRPr="008D13D4">
        <w:rPr>
          <w:b/>
          <w:bCs/>
          <w:i/>
          <w:color w:val="00B050"/>
        </w:rPr>
        <w:t>o zakłócenia konkurencji w postę</w:t>
      </w:r>
      <w:r w:rsidR="00904089" w:rsidRPr="008D13D4">
        <w:rPr>
          <w:b/>
          <w:bCs/>
          <w:i/>
          <w:color w:val="00B050"/>
        </w:rPr>
        <w:t xml:space="preserve">powaniu </w:t>
      </w:r>
      <w:r w:rsidRPr="008D13D4">
        <w:rPr>
          <w:b/>
          <w:bCs/>
          <w:i/>
          <w:color w:val="00B050"/>
        </w:rPr>
        <w:t xml:space="preserve">na </w:t>
      </w:r>
      <w:r w:rsidR="00904089" w:rsidRPr="008D13D4">
        <w:rPr>
          <w:b/>
          <w:bCs/>
          <w:i/>
          <w:color w:val="00B050"/>
        </w:rPr>
        <w:t>Formularz</w:t>
      </w:r>
      <w:r w:rsidRPr="008D13D4">
        <w:rPr>
          <w:b/>
          <w:bCs/>
          <w:i/>
          <w:color w:val="00B050"/>
        </w:rPr>
        <w:t>u</w:t>
      </w:r>
      <w:r w:rsidR="00904089" w:rsidRPr="008D13D4">
        <w:rPr>
          <w:b/>
          <w:bCs/>
          <w:i/>
          <w:color w:val="00B050"/>
        </w:rPr>
        <w:t xml:space="preserve"> Nr 6. </w:t>
      </w:r>
      <w:r>
        <w:rPr>
          <w:b/>
          <w:bCs/>
          <w:i/>
          <w:color w:val="00B050"/>
        </w:rPr>
        <w:t>Oświadczenie  należy złożyć po otwarciu ofert.</w:t>
      </w:r>
    </w:p>
    <w:p w:rsidR="00904089" w:rsidRPr="0085702B" w:rsidRDefault="00904089" w:rsidP="00904089">
      <w:pPr>
        <w:tabs>
          <w:tab w:val="left" w:pos="284"/>
        </w:tabs>
        <w:autoSpaceDE w:val="0"/>
        <w:autoSpaceDN w:val="0"/>
        <w:adjustRightInd w:val="0"/>
        <w:spacing w:line="276" w:lineRule="auto"/>
        <w:ind w:left="284"/>
        <w:jc w:val="both"/>
        <w:rPr>
          <w:bCs/>
          <w:color w:val="FF0000"/>
        </w:rPr>
      </w:pPr>
    </w:p>
    <w:p w:rsidR="00224978" w:rsidRPr="00904089" w:rsidRDefault="004C5886" w:rsidP="00504ECB">
      <w:pPr>
        <w:numPr>
          <w:ilvl w:val="0"/>
          <w:numId w:val="15"/>
        </w:numPr>
        <w:tabs>
          <w:tab w:val="left" w:pos="284"/>
        </w:tabs>
        <w:autoSpaceDE w:val="0"/>
        <w:autoSpaceDN w:val="0"/>
        <w:adjustRightInd w:val="0"/>
        <w:spacing w:line="276" w:lineRule="auto"/>
        <w:ind w:left="284" w:hanging="284"/>
        <w:jc w:val="both"/>
        <w:rPr>
          <w:bCs/>
          <w:color w:val="FF0000"/>
        </w:rPr>
      </w:pPr>
      <w:r w:rsidRPr="00904089">
        <w:rPr>
          <w:b/>
          <w:color w:val="FF0000"/>
        </w:rPr>
        <w:t>Zamawiający przed udzielenie</w:t>
      </w:r>
      <w:r w:rsidR="002B07B4" w:rsidRPr="00904089">
        <w:rPr>
          <w:b/>
          <w:color w:val="FF0000"/>
        </w:rPr>
        <w:t>m</w:t>
      </w:r>
      <w:r w:rsidRPr="00904089">
        <w:rPr>
          <w:b/>
          <w:color w:val="FF0000"/>
        </w:rPr>
        <w:t xml:space="preserve"> zamówienia wezwie Wykonawcę, którego oferta została najwyżej oceniona, do złożenia w wyznaczonym</w:t>
      </w:r>
      <w:r w:rsidR="00224978" w:rsidRPr="00904089">
        <w:rPr>
          <w:b/>
          <w:color w:val="FF0000"/>
        </w:rPr>
        <w:t xml:space="preserve">, nie krótszym niż </w:t>
      </w:r>
      <w:r w:rsidR="002D5111" w:rsidRPr="00904089">
        <w:rPr>
          <w:b/>
          <w:color w:val="FF0000"/>
        </w:rPr>
        <w:t>5</w:t>
      </w:r>
      <w:r w:rsidR="00224978" w:rsidRPr="00904089">
        <w:rPr>
          <w:b/>
          <w:color w:val="FF0000"/>
        </w:rPr>
        <w:t xml:space="preserve"> dni</w:t>
      </w:r>
      <w:r w:rsidRPr="00904089">
        <w:rPr>
          <w:b/>
          <w:color w:val="FF0000"/>
        </w:rPr>
        <w:t xml:space="preserve"> terminie</w:t>
      </w:r>
      <w:r w:rsidR="00224978" w:rsidRPr="00904089">
        <w:rPr>
          <w:b/>
          <w:color w:val="FF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BA5F1A">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B22BDA">
      <w:pPr>
        <w:numPr>
          <w:ilvl w:val="1"/>
          <w:numId w:val="12"/>
        </w:numPr>
        <w:autoSpaceDE w:val="0"/>
        <w:autoSpaceDN w:val="0"/>
        <w:adjustRightInd w:val="0"/>
        <w:spacing w:line="276" w:lineRule="auto"/>
        <w:ind w:left="568" w:hanging="284"/>
        <w:jc w:val="both"/>
        <w:rPr>
          <w:color w:val="FF0000"/>
        </w:rPr>
      </w:pPr>
      <w:r w:rsidRPr="00BA5F1A">
        <w:rPr>
          <w:b/>
          <w:color w:val="00B050"/>
        </w:rPr>
        <w:t>Wykaz robót budowlanych</w:t>
      </w:r>
      <w:r w:rsidRPr="00BA5F1A">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504ECB">
      <w:pPr>
        <w:numPr>
          <w:ilvl w:val="1"/>
          <w:numId w:val="12"/>
        </w:numPr>
        <w:autoSpaceDE w:val="0"/>
        <w:autoSpaceDN w:val="0"/>
        <w:adjustRightInd w:val="0"/>
        <w:spacing w:line="276" w:lineRule="auto"/>
        <w:ind w:left="568" w:hanging="284"/>
        <w:jc w:val="both"/>
        <w:rPr>
          <w:color w:val="000000"/>
        </w:rPr>
      </w:pPr>
      <w:r w:rsidRPr="00BA5F1A">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A2388B">
      <w:pPr>
        <w:pStyle w:val="Akapitzlist"/>
        <w:numPr>
          <w:ilvl w:val="0"/>
          <w:numId w:val="7"/>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A2388B">
      <w:pPr>
        <w:pStyle w:val="Akapitzlist"/>
        <w:numPr>
          <w:ilvl w:val="0"/>
          <w:numId w:val="7"/>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A2388B">
      <w:pPr>
        <w:pStyle w:val="Akapitzlist"/>
        <w:numPr>
          <w:ilvl w:val="0"/>
          <w:numId w:val="7"/>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A2388B">
      <w:pPr>
        <w:pStyle w:val="Akapitzlist"/>
        <w:numPr>
          <w:ilvl w:val="0"/>
          <w:numId w:val="7"/>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BA5F1A" w:rsidRDefault="00706EBC" w:rsidP="00D5255A">
      <w:pPr>
        <w:numPr>
          <w:ilvl w:val="0"/>
          <w:numId w:val="7"/>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D5255A">
      <w:pPr>
        <w:numPr>
          <w:ilvl w:val="0"/>
          <w:numId w:val="7"/>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A2388B">
      <w:pPr>
        <w:numPr>
          <w:ilvl w:val="0"/>
          <w:numId w:val="7"/>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w:t>
      </w:r>
      <w:r w:rsidR="00BA5F1A">
        <w:t>ców składających ofertę wspólną.</w:t>
      </w:r>
    </w:p>
    <w:p w:rsidR="006F4A6D" w:rsidRPr="008F0B02" w:rsidRDefault="006F4A6D" w:rsidP="00A2388B">
      <w:pPr>
        <w:pStyle w:val="Akapitzlist2"/>
        <w:numPr>
          <w:ilvl w:val="0"/>
          <w:numId w:val="7"/>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603A29" w:rsidRDefault="00090788" w:rsidP="00A2388B">
      <w:pPr>
        <w:pStyle w:val="Akapitzlist1"/>
        <w:numPr>
          <w:ilvl w:val="0"/>
          <w:numId w:val="7"/>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p w:rsidR="00603A29" w:rsidRDefault="00603A29" w:rsidP="00603A29">
      <w:pPr>
        <w:pStyle w:val="Akapitzlist1"/>
        <w:autoSpaceDE w:val="0"/>
        <w:autoSpaceDN w:val="0"/>
        <w:adjustRightInd w:val="0"/>
        <w:ind w:right="-144"/>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732C6B">
      <w:pPr>
        <w:pStyle w:val="Akapitzlist1"/>
        <w:autoSpaceDE w:val="0"/>
        <w:autoSpaceDN w:val="0"/>
        <w:adjustRightInd w:val="0"/>
        <w:spacing w:line="240" w:lineRule="auto"/>
        <w:ind w:left="426" w:right="-144"/>
        <w:jc w:val="both"/>
        <w:rPr>
          <w:rFonts w:ascii="Times New Roman" w:hAnsi="Times New Roman"/>
          <w:b/>
          <w:sz w:val="24"/>
          <w:szCs w:val="24"/>
        </w:rPr>
      </w:pPr>
    </w:p>
    <w:p w:rsidR="008A6189" w:rsidRPr="004824A0" w:rsidRDefault="00BC5248" w:rsidP="00732C6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504ECB">
      <w:pPr>
        <w:pStyle w:val="Akapitzlist"/>
        <w:numPr>
          <w:ilvl w:val="0"/>
          <w:numId w:val="12"/>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504ECB">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504ECB">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A2388B" w:rsidRPr="00A2388B" w:rsidRDefault="00A2388B" w:rsidP="00A2388B">
      <w:pPr>
        <w:ind w:left="357"/>
        <w:jc w:val="both"/>
        <w:rPr>
          <w:b/>
          <w:bCs/>
        </w:rPr>
      </w:pPr>
      <w:r w:rsidRPr="00A2388B">
        <w:rPr>
          <w:b/>
          <w:bCs/>
        </w:rPr>
        <w:tab/>
        <w:t>Dorota Szarkowska Inspektor ds. zamówień 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1F23A4" w:rsidRDefault="008A6189" w:rsidP="000F465F">
      <w:pPr>
        <w:numPr>
          <w:ilvl w:val="0"/>
          <w:numId w:val="8"/>
        </w:numPr>
        <w:tabs>
          <w:tab w:val="clear" w:pos="720"/>
          <w:tab w:val="num" w:pos="284"/>
        </w:tabs>
        <w:autoSpaceDE w:val="0"/>
        <w:autoSpaceDN w:val="0"/>
        <w:adjustRightInd w:val="0"/>
        <w:spacing w:line="276" w:lineRule="auto"/>
        <w:ind w:left="284" w:hanging="284"/>
        <w:jc w:val="both"/>
        <w:rPr>
          <w:b/>
          <w:highlight w:val="yellow"/>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 xml:space="preserve">do dnia </w:t>
      </w:r>
      <w:r w:rsidR="00C700F2">
        <w:rPr>
          <w:b/>
          <w:color w:val="FF0000"/>
        </w:rPr>
        <w:t>16.06</w:t>
      </w:r>
      <w:r w:rsidR="00523933" w:rsidRPr="001F23A4">
        <w:rPr>
          <w:b/>
          <w:color w:val="FF0000"/>
        </w:rPr>
        <w:t>.201</w:t>
      </w:r>
      <w:r w:rsidR="00774B4A" w:rsidRPr="001F23A4">
        <w:rPr>
          <w:b/>
          <w:color w:val="FF0000"/>
        </w:rPr>
        <w:t>7</w:t>
      </w:r>
      <w:r w:rsidR="00523933" w:rsidRPr="001F23A4">
        <w:rPr>
          <w:b/>
          <w:color w:val="FF0000"/>
        </w:rPr>
        <w:t xml:space="preserve"> r.</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BD237F" w:rsidRPr="004824A0" w:rsidRDefault="00BD237F"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603A2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603A29">
              <w:rPr>
                <w:b/>
                <w:color w:val="000000"/>
              </w:rPr>
              <w:t>II</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BD237F" w:rsidRDefault="008A6189" w:rsidP="00B27D25">
      <w:pPr>
        <w:numPr>
          <w:ilvl w:val="1"/>
          <w:numId w:val="3"/>
        </w:numPr>
        <w:tabs>
          <w:tab w:val="clear" w:pos="615"/>
          <w:tab w:val="num" w:pos="284"/>
        </w:tabs>
        <w:autoSpaceDE w:val="0"/>
        <w:autoSpaceDN w:val="0"/>
        <w:adjustRightInd w:val="0"/>
        <w:spacing w:line="276" w:lineRule="auto"/>
        <w:ind w:left="284" w:hanging="284"/>
        <w:jc w:val="both"/>
        <w:rPr>
          <w:color w:val="000000"/>
        </w:rPr>
      </w:pPr>
      <w:r w:rsidRPr="00BD237F">
        <w:rPr>
          <w:color w:val="000000"/>
        </w:rPr>
        <w:t xml:space="preserve">Oferta musi obejmować całość zamówienia. </w:t>
      </w:r>
    </w:p>
    <w:p w:rsidR="008D3298" w:rsidRPr="00567BAD"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bookmarkStart w:id="1" w:name="_GoBack"/>
      <w:r w:rsidRPr="00567BAD">
        <w:rPr>
          <w:color w:val="FF0000"/>
        </w:rPr>
        <w:t>Oferta winna zawierać</w:t>
      </w:r>
      <w:r w:rsidR="008D3298" w:rsidRPr="00567BAD">
        <w:rPr>
          <w:color w:val="FF0000"/>
        </w:rPr>
        <w:t>:</w:t>
      </w:r>
    </w:p>
    <w:p w:rsidR="008D3298" w:rsidRPr="00567BAD" w:rsidRDefault="008A6189" w:rsidP="00504ECB">
      <w:pPr>
        <w:numPr>
          <w:ilvl w:val="0"/>
          <w:numId w:val="17"/>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 xml:space="preserve">1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504ECB">
      <w:pPr>
        <w:numPr>
          <w:ilvl w:val="0"/>
          <w:numId w:val="17"/>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567BAD">
        <w:rPr>
          <w:color w:val="FF0000"/>
        </w:rPr>
        <w:t>Formularz</w:t>
      </w:r>
      <w:r w:rsidRPr="00567BAD">
        <w:rPr>
          <w:color w:val="FF0000"/>
        </w:rPr>
        <w:t xml:space="preserve"> nr </w:t>
      </w:r>
      <w:r w:rsidR="00774B4A">
        <w:rPr>
          <w:color w:val="FF0000"/>
        </w:rPr>
        <w:t>2</w:t>
      </w:r>
      <w:r w:rsidRPr="00567BAD">
        <w:rPr>
          <w:color w:val="FF0000"/>
        </w:rPr>
        <w:t xml:space="preserve"> do rozdziału B SIWZ)</w:t>
      </w:r>
    </w:p>
    <w:p w:rsidR="005C4D68" w:rsidRPr="00567BAD" w:rsidRDefault="005C4D68" w:rsidP="00504ECB">
      <w:pPr>
        <w:numPr>
          <w:ilvl w:val="0"/>
          <w:numId w:val="17"/>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567BAD">
        <w:rPr>
          <w:color w:val="FF0000"/>
        </w:rPr>
        <w:t>Formularz</w:t>
      </w:r>
      <w:r w:rsidRPr="00567BAD">
        <w:rPr>
          <w:color w:val="FF0000"/>
        </w:rPr>
        <w:t xml:space="preserve"> </w:t>
      </w:r>
      <w:r w:rsidR="000F1FC3" w:rsidRPr="00567BAD">
        <w:rPr>
          <w:color w:val="FF0000"/>
        </w:rPr>
        <w:br/>
      </w:r>
      <w:r w:rsidRPr="00567BAD">
        <w:rPr>
          <w:color w:val="FF0000"/>
        </w:rPr>
        <w:t xml:space="preserve">nr </w:t>
      </w:r>
      <w:r w:rsidR="00774B4A">
        <w:rPr>
          <w:color w:val="FF0000"/>
        </w:rPr>
        <w:t>3</w:t>
      </w:r>
      <w:r w:rsidRPr="00567BAD">
        <w:rPr>
          <w:color w:val="FF0000"/>
        </w:rPr>
        <w:t xml:space="preserve"> do rozdziału B SIWZ)</w:t>
      </w:r>
    </w:p>
    <w:p w:rsidR="00BA5F1A" w:rsidRDefault="005C4D68" w:rsidP="00523933">
      <w:pPr>
        <w:numPr>
          <w:ilvl w:val="0"/>
          <w:numId w:val="17"/>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603A29" w:rsidRPr="00336BD2" w:rsidRDefault="00603A29" w:rsidP="00603A29">
      <w:pPr>
        <w:numPr>
          <w:ilvl w:val="0"/>
          <w:numId w:val="17"/>
        </w:numPr>
        <w:autoSpaceDE w:val="0"/>
        <w:autoSpaceDN w:val="0"/>
        <w:adjustRightInd w:val="0"/>
        <w:spacing w:line="276" w:lineRule="auto"/>
        <w:ind w:left="709" w:hanging="425"/>
        <w:jc w:val="both"/>
        <w:rPr>
          <w:color w:val="FF0000"/>
        </w:rPr>
      </w:pPr>
      <w:r w:rsidRPr="00336BD2">
        <w:rPr>
          <w:color w:val="FF0000"/>
        </w:rPr>
        <w:t xml:space="preserve">    pełnomocnictwo do reprezentowania podmiotu, w przypadku gdy uprawnienie do reprezentacji nie wynika z właściwego rejestru lub Centralnej Ewidencji i Informacji </w:t>
      </w:r>
      <w:r>
        <w:rPr>
          <w:color w:val="FF0000"/>
        </w:rPr>
        <w:br/>
      </w:r>
      <w:r w:rsidRPr="00336BD2">
        <w:rPr>
          <w:color w:val="FF0000"/>
        </w:rPr>
        <w:t>o Działalności Gospodarczej Rzeczpospolitej Polskiej,</w:t>
      </w:r>
    </w:p>
    <w:p w:rsidR="00603A29" w:rsidRPr="00336BD2" w:rsidRDefault="00603A29" w:rsidP="00603A29">
      <w:pPr>
        <w:numPr>
          <w:ilvl w:val="0"/>
          <w:numId w:val="17"/>
        </w:numPr>
        <w:autoSpaceDE w:val="0"/>
        <w:autoSpaceDN w:val="0"/>
        <w:adjustRightInd w:val="0"/>
        <w:spacing w:line="276" w:lineRule="auto"/>
        <w:ind w:left="709" w:hanging="425"/>
        <w:jc w:val="both"/>
        <w:rPr>
          <w:color w:val="FF0000"/>
        </w:rPr>
      </w:pPr>
      <w:r w:rsidRPr="00336BD2">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146C5A" w:rsidRPr="00567BAD" w:rsidRDefault="000F1FC3" w:rsidP="00603A29">
      <w:pPr>
        <w:autoSpaceDE w:val="0"/>
        <w:autoSpaceDN w:val="0"/>
        <w:adjustRightInd w:val="0"/>
        <w:spacing w:line="276" w:lineRule="auto"/>
        <w:ind w:left="709"/>
        <w:jc w:val="both"/>
        <w:rPr>
          <w:color w:val="FF0000"/>
        </w:rPr>
      </w:pPr>
      <w:r w:rsidRPr="00567BAD">
        <w:rPr>
          <w:color w:val="FF0000"/>
        </w:rPr>
        <w:t xml:space="preserve">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bookmarkEnd w:id="1"/>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Default="008A6189" w:rsidP="00904481">
      <w:pPr>
        <w:numPr>
          <w:ilvl w:val="1"/>
          <w:numId w:val="3"/>
        </w:numPr>
        <w:tabs>
          <w:tab w:val="clear" w:pos="615"/>
          <w:tab w:val="num" w:pos="284"/>
        </w:tabs>
        <w:autoSpaceDE w:val="0"/>
        <w:autoSpaceDN w:val="0"/>
        <w:adjustRightInd w:val="0"/>
        <w:spacing w:line="276" w:lineRule="auto"/>
        <w:ind w:left="284" w:hanging="284"/>
        <w:jc w:val="both"/>
        <w:rPr>
          <w:color w:val="000000"/>
        </w:rPr>
      </w:pPr>
      <w:r w:rsidRPr="00BD237F">
        <w:rPr>
          <w:color w:val="000000"/>
        </w:rPr>
        <w:t>Ofertę należy umieścić w zamkniętym opakowaniu, uniemożliwiającym odczytanie jego zawartości bez uszkodzenia tego opakowania. Opakowanie winno być oznaczone nazwą (firma) i adresem Wykonawcy oraz opisane następująco:</w:t>
      </w:r>
    </w:p>
    <w:p w:rsidR="00BD237F" w:rsidRPr="00BD237F" w:rsidRDefault="00BD237F" w:rsidP="00BD237F">
      <w:pPr>
        <w:autoSpaceDE w:val="0"/>
        <w:autoSpaceDN w:val="0"/>
        <w:adjustRightInd w:val="0"/>
        <w:spacing w:line="276" w:lineRule="auto"/>
        <w:ind w:left="284"/>
        <w:jc w:val="both"/>
        <w:rPr>
          <w:color w:val="000000"/>
        </w:rPr>
      </w:pP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w:t>
      </w:r>
      <w:r w:rsidR="00CA281A">
        <w:t xml:space="preserve"> </w:t>
      </w:r>
      <w:r>
        <w:t>na adres</w:t>
      </w:r>
      <w:r w:rsidR="00854AC2">
        <w:t>:</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603A29" w:rsidRPr="00603A29" w:rsidRDefault="00D4692E" w:rsidP="00603A29">
      <w:pPr>
        <w:ind w:left="570"/>
        <w:rPr>
          <w:b/>
          <w:bCs/>
          <w:color w:val="FF0000"/>
        </w:rPr>
      </w:pPr>
      <w:r w:rsidRPr="006060B4">
        <w:rPr>
          <w:b/>
          <w:color w:val="FF0000"/>
        </w:rPr>
        <w:t xml:space="preserve">Oferta na zadanie: </w:t>
      </w:r>
      <w:r w:rsidRPr="006060B4">
        <w:rPr>
          <w:b/>
          <w:bCs/>
          <w:color w:val="FF0000"/>
        </w:rPr>
        <w:t xml:space="preserve"> </w:t>
      </w:r>
      <w:r w:rsidR="00603A29" w:rsidRPr="00603A29">
        <w:rPr>
          <w:b/>
          <w:bCs/>
          <w:color w:val="FF0000"/>
        </w:rPr>
        <w:t xml:space="preserve">„Budowa oświetlenia ul. Tadeusza Boya Żeleńskiego, </w:t>
      </w:r>
    </w:p>
    <w:p w:rsidR="00D4692E" w:rsidRPr="006060B4" w:rsidRDefault="00603A29" w:rsidP="00603A29">
      <w:pPr>
        <w:ind w:left="570"/>
        <w:rPr>
          <w:b/>
          <w:color w:val="FF0000"/>
        </w:rPr>
      </w:pPr>
      <w:r w:rsidRPr="00603A29">
        <w:rPr>
          <w:b/>
          <w:bCs/>
          <w:color w:val="FF0000"/>
        </w:rPr>
        <w:t xml:space="preserve">J. Kasprowicza, J. Korczaka w Koszalinie” </w:t>
      </w:r>
      <w:r w:rsidR="00D4692E" w:rsidRPr="006060B4">
        <w:rPr>
          <w:b/>
          <w:color w:val="FF0000"/>
        </w:rPr>
        <w:t>Znak sprawy: TZP.221.</w:t>
      </w:r>
      <w:r>
        <w:rPr>
          <w:b/>
          <w:color w:val="FF0000"/>
        </w:rPr>
        <w:t>17</w:t>
      </w:r>
      <w:r w:rsidR="00D4692E" w:rsidRPr="006060B4">
        <w:rPr>
          <w:b/>
          <w:color w:val="FF0000"/>
        </w:rPr>
        <w:t>.201</w:t>
      </w:r>
      <w:r w:rsidR="00CA7A18" w:rsidRPr="006060B4">
        <w:rPr>
          <w:b/>
          <w:color w:val="FF0000"/>
        </w:rPr>
        <w:t>7</w:t>
      </w:r>
      <w:r w:rsidR="00D4692E" w:rsidRPr="006060B4">
        <w:rPr>
          <w:b/>
          <w:color w:val="FF0000"/>
        </w:rPr>
        <w:t>.DSz</w:t>
      </w:r>
    </w:p>
    <w:p w:rsidR="00D4692E" w:rsidRDefault="00D4692E" w:rsidP="00D4692E">
      <w:pPr>
        <w:autoSpaceDE w:val="0"/>
        <w:ind w:left="570"/>
        <w:jc w:val="both"/>
        <w:rPr>
          <w:bCs/>
        </w:rPr>
      </w:pPr>
      <w:r w:rsidRPr="0040721D">
        <w:rPr>
          <w:b/>
          <w:color w:val="FF0000"/>
        </w:rPr>
        <w:t>Nie otwierać przed dniem</w:t>
      </w:r>
      <w:r w:rsidRPr="0040721D">
        <w:rPr>
          <w:color w:val="FF0000"/>
        </w:rPr>
        <w:t xml:space="preserve"> </w:t>
      </w:r>
      <w:r w:rsidRPr="0040721D">
        <w:rPr>
          <w:b/>
          <w:color w:val="FF0000"/>
        </w:rPr>
        <w:t xml:space="preserve"> </w:t>
      </w:r>
      <w:r w:rsidR="00C700F2">
        <w:rPr>
          <w:b/>
          <w:color w:val="FF0000"/>
        </w:rPr>
        <w:t>22.06</w:t>
      </w:r>
      <w:r w:rsidR="00523933" w:rsidRPr="001F23A4">
        <w:rPr>
          <w:b/>
          <w:color w:val="FF0000"/>
        </w:rPr>
        <w:t>.201</w:t>
      </w:r>
      <w:r w:rsidR="00CA7A18" w:rsidRPr="001F23A4">
        <w:rPr>
          <w:b/>
          <w:color w:val="FF0000"/>
        </w:rPr>
        <w:t>7</w:t>
      </w:r>
      <w:r w:rsidR="00523933" w:rsidRPr="001F23A4">
        <w:rPr>
          <w:b/>
          <w:color w:val="FF0000"/>
        </w:rPr>
        <w:t xml:space="preserve"> </w:t>
      </w:r>
      <w:r w:rsidRPr="001F23A4">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CA281A" w:rsidRDefault="00CA281A" w:rsidP="00D4692E">
      <w:pPr>
        <w:pStyle w:val="Tekstpodstawowywcity31"/>
        <w:ind w:left="570" w:firstLine="0"/>
      </w:pP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603A29" w:rsidRPr="00603A29" w:rsidRDefault="00D4692E" w:rsidP="00603A29">
      <w:pPr>
        <w:ind w:left="570"/>
        <w:rPr>
          <w:b/>
          <w:color w:val="FF0000"/>
        </w:rPr>
      </w:pPr>
      <w:r w:rsidRPr="006060B4">
        <w:rPr>
          <w:b/>
          <w:color w:val="FF0000"/>
        </w:rPr>
        <w:t xml:space="preserve">Oferta na zadanie: </w:t>
      </w:r>
      <w:r w:rsidR="00603A29" w:rsidRPr="00603A29">
        <w:rPr>
          <w:b/>
          <w:color w:val="FF0000"/>
        </w:rPr>
        <w:t xml:space="preserve">„Budowa oświetlenia ul. Tadeusza Boya Żeleńskiego, </w:t>
      </w:r>
    </w:p>
    <w:p w:rsidR="00D4692E" w:rsidRDefault="00603A29" w:rsidP="00603A29">
      <w:pPr>
        <w:ind w:left="570"/>
        <w:rPr>
          <w:b/>
          <w:color w:val="FF0000"/>
        </w:rPr>
      </w:pPr>
      <w:r w:rsidRPr="00603A29">
        <w:rPr>
          <w:b/>
          <w:color w:val="FF0000"/>
        </w:rPr>
        <w:t xml:space="preserve">J. Kasprowicza, J. Korczaka w Koszalinie” </w:t>
      </w:r>
      <w:r w:rsidR="00D4692E" w:rsidRPr="00CA7A18">
        <w:rPr>
          <w:b/>
          <w:color w:val="FF0000"/>
        </w:rPr>
        <w:t>Znak sprawy: TZP.221.</w:t>
      </w:r>
      <w:r>
        <w:rPr>
          <w:b/>
          <w:color w:val="FF0000"/>
        </w:rPr>
        <w:t>17</w:t>
      </w:r>
      <w:r w:rsidR="00D4692E" w:rsidRPr="00CA7A18">
        <w:rPr>
          <w:b/>
          <w:color w:val="FF0000"/>
        </w:rPr>
        <w:t>.201</w:t>
      </w:r>
      <w:r w:rsidR="00CA7A18" w:rsidRPr="00CA7A18">
        <w:rPr>
          <w:b/>
          <w:color w:val="FF0000"/>
        </w:rPr>
        <w:t>7</w:t>
      </w:r>
      <w:r w:rsidR="00D4692E" w:rsidRPr="00CA7A18">
        <w:rPr>
          <w:b/>
          <w:color w:val="FF0000"/>
        </w:rPr>
        <w:t>.DSz</w:t>
      </w:r>
    </w:p>
    <w:p w:rsidR="006060B4" w:rsidRPr="00CA7A18" w:rsidRDefault="006060B4" w:rsidP="006060B4">
      <w:pPr>
        <w:tabs>
          <w:tab w:val="left" w:pos="284"/>
        </w:tabs>
        <w:rPr>
          <w:b/>
          <w:color w:val="FF0000"/>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I</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923959">
      <w:pPr>
        <w:numPr>
          <w:ilvl w:val="0"/>
          <w:numId w:val="22"/>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CA7A18">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C700F2">
        <w:rPr>
          <w:b/>
          <w:bCs/>
          <w:color w:val="FF0000"/>
        </w:rPr>
        <w:t>22.06</w:t>
      </w:r>
      <w:r w:rsidR="003A1E9D" w:rsidRPr="00D547C1">
        <w:rPr>
          <w:b/>
          <w:bCs/>
          <w:color w:val="FF0000"/>
        </w:rPr>
        <w:t>.201</w:t>
      </w:r>
      <w:r w:rsidR="00CA7A18" w:rsidRPr="00D547C1">
        <w:rPr>
          <w:b/>
          <w:bCs/>
          <w:color w:val="FF0000"/>
        </w:rPr>
        <w:t>7</w:t>
      </w:r>
      <w:r w:rsidR="008B23DA" w:rsidRPr="00D547C1">
        <w:rPr>
          <w:b/>
          <w:bCs/>
          <w:color w:val="FF0000"/>
        </w:rPr>
        <w:t xml:space="preserve"> r. godz. 1</w:t>
      </w:r>
      <w:r w:rsidR="00D4692E" w:rsidRPr="00D547C1">
        <w:rPr>
          <w:b/>
          <w:bCs/>
          <w:color w:val="FF0000"/>
        </w:rPr>
        <w:t>0</w:t>
      </w:r>
      <w:r w:rsidRPr="00D547C1">
        <w:rPr>
          <w:b/>
          <w:bCs/>
          <w:color w:val="FF0000"/>
        </w:rPr>
        <w:t>:</w:t>
      </w:r>
      <w:r w:rsidR="00D4692E" w:rsidRPr="00D547C1">
        <w:rPr>
          <w:b/>
          <w:bCs/>
          <w:color w:val="FF0000"/>
        </w:rPr>
        <w:t>0</w:t>
      </w:r>
      <w:r w:rsidR="008816B2" w:rsidRPr="00D547C1">
        <w:rPr>
          <w:b/>
          <w:bCs/>
          <w:color w:val="FF0000"/>
        </w:rPr>
        <w:t>0</w:t>
      </w:r>
    </w:p>
    <w:p w:rsidR="00404815" w:rsidRPr="00D2030B" w:rsidRDefault="000D410E" w:rsidP="00923959">
      <w:pPr>
        <w:numPr>
          <w:ilvl w:val="0"/>
          <w:numId w:val="22"/>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547C1" w:rsidRDefault="00CD1DDF" w:rsidP="00923959">
      <w:pPr>
        <w:numPr>
          <w:ilvl w:val="0"/>
          <w:numId w:val="22"/>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Zarząd</w:t>
      </w:r>
      <w:r w:rsidR="00854AC2">
        <w:t>zie</w:t>
      </w:r>
      <w:r w:rsidR="00404815">
        <w:t xml:space="preserve">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C700F2">
        <w:rPr>
          <w:b/>
          <w:bCs/>
          <w:color w:val="FF0000"/>
        </w:rPr>
        <w:t>22.06</w:t>
      </w:r>
      <w:r w:rsidR="00404815" w:rsidRPr="00D547C1">
        <w:rPr>
          <w:b/>
          <w:bCs/>
          <w:color w:val="FF0000"/>
        </w:rPr>
        <w:t>.201</w:t>
      </w:r>
      <w:r w:rsidR="00CA7A18" w:rsidRPr="00D547C1">
        <w:rPr>
          <w:b/>
          <w:bCs/>
          <w:color w:val="FF0000"/>
        </w:rPr>
        <w:t>7</w:t>
      </w:r>
      <w:r w:rsidR="00404815" w:rsidRPr="00D547C1">
        <w:rPr>
          <w:b/>
          <w:bCs/>
          <w:color w:val="FF0000"/>
        </w:rPr>
        <w:t xml:space="preserve"> r. godz. 10:15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w:t>
      </w:r>
      <w:r w:rsidR="00EA10F0">
        <w:rPr>
          <w:color w:val="000000"/>
        </w:rPr>
        <w:t xml:space="preserve"> </w:t>
      </w:r>
      <w:r w:rsidRPr="004824A0">
        <w:rPr>
          <w:color w:val="000000"/>
        </w:rPr>
        <w:t>jawne.</w:t>
      </w:r>
    </w:p>
    <w:p w:rsidR="00CD1DDF" w:rsidRPr="00404815" w:rsidRDefault="008A6189" w:rsidP="00923959">
      <w:pPr>
        <w:pStyle w:val="Akapitzlist"/>
        <w:numPr>
          <w:ilvl w:val="0"/>
          <w:numId w:val="22"/>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23959">
      <w:pPr>
        <w:numPr>
          <w:ilvl w:val="0"/>
          <w:numId w:val="22"/>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056825">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Pr="004824A0" w:rsidRDefault="000D410E" w:rsidP="00923959">
      <w:pPr>
        <w:numPr>
          <w:ilvl w:val="0"/>
          <w:numId w:val="23"/>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B4280C" w:rsidP="00B4280C">
      <w:r w:rsidRPr="004824A0">
        <w:t xml:space="preserve">  </w:t>
      </w: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1B5837">
              <w:rPr>
                <w:b/>
              </w:rPr>
              <w:t>1%=1pkt</w:t>
            </w:r>
          </w:p>
        </w:tc>
      </w:tr>
      <w:tr w:rsidR="003A07D0" w:rsidRPr="003A07D0" w:rsidTr="00015D59">
        <w:tc>
          <w:tcPr>
            <w:tcW w:w="5378" w:type="dxa"/>
          </w:tcPr>
          <w:p w:rsidR="003A07D0" w:rsidRPr="003A07D0" w:rsidRDefault="00C56EF3" w:rsidP="003A07D0">
            <w:pPr>
              <w:rPr>
                <w:b/>
              </w:rPr>
            </w:pPr>
            <w:r>
              <w:rPr>
                <w:b/>
              </w:rPr>
              <w:t xml:space="preserve">Cena </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3A07D0">
            <w:pPr>
              <w:rPr>
                <w:b/>
              </w:rPr>
            </w:pPr>
            <w:r w:rsidRPr="003A07D0">
              <w:rPr>
                <w:b/>
              </w:rPr>
              <w:t>60 pkt</w:t>
            </w:r>
          </w:p>
        </w:tc>
      </w:tr>
      <w:tr w:rsidR="003A07D0" w:rsidRPr="003A07D0" w:rsidTr="00015D59">
        <w:tc>
          <w:tcPr>
            <w:tcW w:w="5378" w:type="dxa"/>
          </w:tcPr>
          <w:p w:rsidR="003A07D0" w:rsidRPr="003A07D0" w:rsidRDefault="003A07D0" w:rsidP="003A07D0">
            <w:pPr>
              <w:rPr>
                <w:b/>
              </w:rPr>
            </w:pPr>
            <w:r w:rsidRPr="003A07D0">
              <w:rPr>
                <w:b/>
              </w:rPr>
              <w:t>Rękojmia udzielona przez Wykonawcę</w:t>
            </w:r>
          </w:p>
        </w:tc>
        <w:tc>
          <w:tcPr>
            <w:tcW w:w="1320" w:type="dxa"/>
          </w:tcPr>
          <w:p w:rsidR="003A07D0" w:rsidRPr="003A07D0" w:rsidRDefault="003A07D0" w:rsidP="003A07D0">
            <w:pPr>
              <w:rPr>
                <w:b/>
              </w:rPr>
            </w:pPr>
            <w:r w:rsidRPr="003A07D0">
              <w:rPr>
                <w:b/>
              </w:rPr>
              <w:t>R</w:t>
            </w:r>
          </w:p>
        </w:tc>
        <w:tc>
          <w:tcPr>
            <w:tcW w:w="2111" w:type="dxa"/>
          </w:tcPr>
          <w:p w:rsidR="003A07D0" w:rsidRPr="003A07D0" w:rsidRDefault="003A07D0" w:rsidP="003A07D0">
            <w:pPr>
              <w:rPr>
                <w:b/>
              </w:rPr>
            </w:pPr>
            <w:r w:rsidRPr="003A07D0">
              <w:rPr>
                <w:b/>
              </w:rPr>
              <w:t>20 pkt</w:t>
            </w:r>
          </w:p>
        </w:tc>
      </w:tr>
      <w:tr w:rsidR="003A07D0" w:rsidRPr="003A07D0" w:rsidTr="00015D59">
        <w:tc>
          <w:tcPr>
            <w:tcW w:w="5378" w:type="dxa"/>
          </w:tcPr>
          <w:p w:rsidR="003A07D0" w:rsidRPr="003A07D0" w:rsidRDefault="00C56EF3" w:rsidP="003A07D0">
            <w:pPr>
              <w:rPr>
                <w:b/>
              </w:rPr>
            </w:pPr>
            <w:r>
              <w:rPr>
                <w:b/>
              </w:rPr>
              <w:t>Doświadczenie Kierownika robót</w:t>
            </w:r>
          </w:p>
        </w:tc>
        <w:tc>
          <w:tcPr>
            <w:tcW w:w="1320" w:type="dxa"/>
          </w:tcPr>
          <w:p w:rsidR="003A07D0" w:rsidRPr="003A07D0" w:rsidRDefault="003A07D0" w:rsidP="003A07D0">
            <w:pPr>
              <w:rPr>
                <w:b/>
              </w:rPr>
            </w:pPr>
            <w:r w:rsidRPr="003A07D0">
              <w:rPr>
                <w:b/>
              </w:rPr>
              <w:t>D</w:t>
            </w:r>
          </w:p>
        </w:tc>
        <w:tc>
          <w:tcPr>
            <w:tcW w:w="2111" w:type="dxa"/>
          </w:tcPr>
          <w:p w:rsidR="003A07D0" w:rsidRPr="003A07D0" w:rsidRDefault="003A07D0" w:rsidP="003A07D0">
            <w:pPr>
              <w:rPr>
                <w:b/>
              </w:rPr>
            </w:pPr>
            <w:r w:rsidRPr="003A07D0">
              <w:rPr>
                <w:b/>
              </w:rPr>
              <w:t>20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3A07D0">
            <w:pPr>
              <w:rPr>
                <w:b/>
              </w:rPr>
            </w:pPr>
            <w:r w:rsidRPr="003A07D0">
              <w:rPr>
                <w:b/>
              </w:rPr>
              <w:t>100 pkt</w:t>
            </w:r>
          </w:p>
        </w:tc>
      </w:tr>
    </w:tbl>
    <w:p w:rsidR="003A07D0" w:rsidRDefault="003A07D0" w:rsidP="003A07D0">
      <w:pPr>
        <w:rPr>
          <w:b/>
        </w:rPr>
      </w:pPr>
    </w:p>
    <w:p w:rsidR="00C15435" w:rsidRPr="003A07D0" w:rsidRDefault="00C15435" w:rsidP="003A07D0">
      <w:pPr>
        <w:rPr>
          <w:b/>
        </w:rPr>
      </w:pPr>
    </w:p>
    <w:p w:rsidR="003A07D0" w:rsidRPr="003A07D0" w:rsidRDefault="003A07D0" w:rsidP="003A07D0">
      <w:pPr>
        <w:numPr>
          <w:ilvl w:val="0"/>
          <w:numId w:val="23"/>
        </w:numPr>
        <w:ind w:left="426"/>
      </w:pPr>
      <w:r w:rsidRPr="003A07D0">
        <w:t xml:space="preserve"> Powyższym kryteriom Zamawiający przypisał następujące znaczenie:</w:t>
      </w:r>
    </w:p>
    <w:p w:rsidR="003A07D0" w:rsidRPr="003A07D0" w:rsidRDefault="003A07D0" w:rsidP="003A07D0"/>
    <w:p w:rsidR="003A07D0" w:rsidRPr="00530392" w:rsidRDefault="00530392" w:rsidP="00530392">
      <w:pPr>
        <w:rPr>
          <w:b/>
          <w:color w:val="FF0000"/>
        </w:rPr>
      </w:pPr>
      <w:r>
        <w:rPr>
          <w:b/>
          <w:color w:val="FF0000"/>
        </w:rPr>
        <w:t xml:space="preserve">     </w:t>
      </w:r>
      <w:r w:rsidR="003A07D0" w:rsidRPr="00530392">
        <w:rPr>
          <w:b/>
          <w:color w:val="FF0000"/>
        </w:rPr>
        <w:t>1)</w:t>
      </w:r>
      <w:r w:rsidR="001B5837">
        <w:rPr>
          <w:b/>
          <w:color w:val="FF0000"/>
        </w:rPr>
        <w:t xml:space="preserve"> </w:t>
      </w:r>
      <w:r w:rsidR="003A07D0" w:rsidRPr="00530392">
        <w:rPr>
          <w:b/>
          <w:color w:val="FF0000"/>
        </w:rPr>
        <w:t>Cena(C) - waga 60 pkt</w:t>
      </w:r>
    </w:p>
    <w:p w:rsidR="003A07D0" w:rsidRDefault="00530392" w:rsidP="00530392">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Pr="003A07D0" w:rsidRDefault="003A07D0" w:rsidP="003A07D0">
      <w:pPr>
        <w:ind w:left="426"/>
        <w:rPr>
          <w:b/>
        </w:rPr>
      </w:pPr>
    </w:p>
    <w:p w:rsidR="003A07D0" w:rsidRDefault="003A07D0" w:rsidP="003A07D0">
      <w:pPr>
        <w:ind w:left="399"/>
        <w:rPr>
          <w:b/>
        </w:rPr>
      </w:pPr>
      <w:r w:rsidRPr="003A07D0">
        <w:rPr>
          <w:b/>
        </w:rPr>
        <w:t>Sposób przyznania punktów w kryterium „cena” :</w:t>
      </w:r>
    </w:p>
    <w:p w:rsidR="003A07D0" w:rsidRPr="003A07D0" w:rsidRDefault="003A07D0" w:rsidP="003A07D0">
      <w:pPr>
        <w:ind w:left="399"/>
        <w:rPr>
          <w:b/>
        </w:rPr>
      </w:pPr>
    </w:p>
    <w:p w:rsidR="003A07D0" w:rsidRPr="001B5837" w:rsidRDefault="003A07D0" w:rsidP="003A07D0">
      <w:pPr>
        <w:ind w:left="399"/>
        <w:rPr>
          <w:b/>
        </w:rPr>
      </w:pPr>
      <w:r w:rsidRPr="001B5837">
        <w:rPr>
          <w:b/>
        </w:rPr>
        <w:t xml:space="preserve">              </w:t>
      </w:r>
      <w:r w:rsidR="00C15435" w:rsidRPr="001B5837">
        <w:rPr>
          <w:b/>
        </w:rPr>
        <w:t>C of. min</w:t>
      </w:r>
    </w:p>
    <w:p w:rsidR="003A07D0" w:rsidRPr="001B5837" w:rsidRDefault="003A07D0" w:rsidP="003A07D0">
      <w:pPr>
        <w:ind w:left="399"/>
        <w:rPr>
          <w:b/>
        </w:rPr>
      </w:pPr>
      <w:r w:rsidRPr="001B5837">
        <w:rPr>
          <w:b/>
        </w:rPr>
        <w:t>C  =  -----------------</w:t>
      </w:r>
      <w:r w:rsidR="00C15435" w:rsidRPr="001B5837">
        <w:rPr>
          <w:b/>
        </w:rPr>
        <w:t>----</w:t>
      </w:r>
      <w:r w:rsidRPr="001B5837">
        <w:rPr>
          <w:b/>
        </w:rPr>
        <w:t xml:space="preserve">  x 60</w:t>
      </w:r>
    </w:p>
    <w:p w:rsidR="003A07D0" w:rsidRPr="001B5837" w:rsidRDefault="003A07D0" w:rsidP="003A07D0">
      <w:pPr>
        <w:ind w:left="399"/>
        <w:rPr>
          <w:b/>
        </w:rPr>
      </w:pPr>
      <w:r w:rsidRPr="001B5837">
        <w:rPr>
          <w:b/>
        </w:rPr>
        <w:tab/>
      </w:r>
      <w:r w:rsidRPr="001B5837">
        <w:rPr>
          <w:b/>
        </w:rPr>
        <w:tab/>
      </w:r>
      <w:r w:rsidRPr="001B5837">
        <w:rPr>
          <w:b/>
        </w:rPr>
        <w:tab/>
        <w:t xml:space="preserve">        </w:t>
      </w:r>
      <w:r w:rsidR="00C15435" w:rsidRPr="001B5837">
        <w:rPr>
          <w:b/>
        </w:rPr>
        <w:t xml:space="preserve">    C of. </w:t>
      </w:r>
      <w:proofErr w:type="spellStart"/>
      <w:r w:rsidR="00C15435" w:rsidRPr="001B5837">
        <w:rPr>
          <w:b/>
        </w:rPr>
        <w:t>bad</w:t>
      </w:r>
      <w:proofErr w:type="spellEnd"/>
      <w:r w:rsidR="00C15435" w:rsidRPr="001B5837">
        <w:rPr>
          <w:b/>
        </w:rPr>
        <w:t>.</w:t>
      </w:r>
    </w:p>
    <w:p w:rsidR="003A07D0" w:rsidRPr="003A07D0" w:rsidRDefault="003A07D0" w:rsidP="003A07D0">
      <w:pPr>
        <w:ind w:left="399"/>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Rękojmia udzielona przez Wykonawcę (R) – maksymalnie 20 punktów</w:t>
      </w:r>
    </w:p>
    <w:p w:rsidR="003A07D0" w:rsidRPr="003A07D0" w:rsidRDefault="003A07D0" w:rsidP="003A07D0">
      <w:pPr>
        <w:ind w:left="399"/>
      </w:pPr>
      <w:r w:rsidRPr="003A07D0">
        <w:rPr>
          <w:b/>
        </w:rPr>
        <w:t xml:space="preserve">        </w:t>
      </w:r>
      <w:r w:rsidRPr="003A07D0">
        <w:rPr>
          <w:b/>
        </w:rPr>
        <w:br/>
      </w:r>
      <w:r w:rsidRPr="003A07D0">
        <w:t>Kryterium „</w:t>
      </w:r>
      <w:r w:rsidRPr="003A07D0">
        <w:rPr>
          <w:b/>
        </w:rPr>
        <w:t>Rękojmia udzielona przez Wykonawcę</w:t>
      </w:r>
      <w:r w:rsidRPr="003A07D0">
        <w:t>” Zamawiający będzie przyznawał punkty według wzoru:</w:t>
      </w:r>
    </w:p>
    <w:p w:rsidR="003A07D0" w:rsidRPr="003A07D0" w:rsidRDefault="003A07D0" w:rsidP="003A07D0"/>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8"/>
        <w:gridCol w:w="1417"/>
        <w:gridCol w:w="1418"/>
      </w:tblGrid>
      <w:tr w:rsidR="003A07D0" w:rsidRPr="003A07D0" w:rsidTr="00530392">
        <w:trPr>
          <w:trHeight w:val="972"/>
        </w:trPr>
        <w:tc>
          <w:tcPr>
            <w:tcW w:w="4394"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Rękojmia udzielona przez Wykonawcę</w:t>
            </w:r>
          </w:p>
        </w:tc>
        <w:tc>
          <w:tcPr>
            <w:tcW w:w="1418" w:type="dxa"/>
            <w:shd w:val="clear" w:color="auto" w:fill="auto"/>
            <w:vAlign w:val="center"/>
          </w:tcPr>
          <w:p w:rsidR="003A07D0" w:rsidRPr="003A07D0" w:rsidRDefault="003A07D0" w:rsidP="003A07D0">
            <w:pPr>
              <w:rPr>
                <w:b/>
              </w:rPr>
            </w:pPr>
            <w:r w:rsidRPr="003A07D0">
              <w:rPr>
                <w:b/>
              </w:rPr>
              <w:t>60 miesięcy</w:t>
            </w:r>
          </w:p>
          <w:p w:rsidR="003A07D0" w:rsidRPr="003A07D0" w:rsidRDefault="003A07D0" w:rsidP="003A07D0">
            <w:pPr>
              <w:rPr>
                <w:b/>
              </w:rPr>
            </w:pPr>
          </w:p>
        </w:tc>
        <w:tc>
          <w:tcPr>
            <w:tcW w:w="1417" w:type="dxa"/>
            <w:shd w:val="clear" w:color="auto" w:fill="auto"/>
            <w:vAlign w:val="center"/>
          </w:tcPr>
          <w:p w:rsidR="003A07D0" w:rsidRPr="003A07D0" w:rsidRDefault="003A07D0" w:rsidP="003A07D0">
            <w:pPr>
              <w:rPr>
                <w:b/>
              </w:rPr>
            </w:pPr>
            <w:r w:rsidRPr="003A07D0">
              <w:rPr>
                <w:b/>
              </w:rPr>
              <w:t>48 miesięcy</w:t>
            </w:r>
          </w:p>
          <w:p w:rsidR="003A07D0" w:rsidRPr="003A07D0" w:rsidRDefault="003A07D0" w:rsidP="003A07D0">
            <w:pPr>
              <w:rPr>
                <w:b/>
              </w:rPr>
            </w:pPr>
          </w:p>
        </w:tc>
        <w:tc>
          <w:tcPr>
            <w:tcW w:w="1418" w:type="dxa"/>
            <w:shd w:val="clear" w:color="auto" w:fill="auto"/>
            <w:vAlign w:val="center"/>
          </w:tcPr>
          <w:p w:rsidR="003A07D0" w:rsidRPr="003A07D0" w:rsidRDefault="003A07D0" w:rsidP="003A07D0">
            <w:pPr>
              <w:rPr>
                <w:b/>
              </w:rPr>
            </w:pPr>
            <w:r w:rsidRPr="003A07D0">
              <w:rPr>
                <w:b/>
              </w:rPr>
              <w:t>36 miesięcy</w:t>
            </w:r>
          </w:p>
          <w:p w:rsidR="003A07D0" w:rsidRPr="003A07D0" w:rsidRDefault="003A07D0" w:rsidP="003A07D0">
            <w:pPr>
              <w:rPr>
                <w:b/>
              </w:rPr>
            </w:pPr>
          </w:p>
        </w:tc>
      </w:tr>
      <w:tr w:rsidR="003A07D0" w:rsidRPr="003A07D0" w:rsidTr="00530392">
        <w:trPr>
          <w:trHeight w:val="346"/>
        </w:trPr>
        <w:tc>
          <w:tcPr>
            <w:tcW w:w="4394" w:type="dxa"/>
            <w:shd w:val="clear" w:color="auto" w:fill="auto"/>
          </w:tcPr>
          <w:p w:rsidR="003A07D0" w:rsidRPr="003A07D0" w:rsidRDefault="003A07D0" w:rsidP="003A07D0">
            <w:pPr>
              <w:rPr>
                <w:b/>
              </w:rPr>
            </w:pPr>
            <w:r w:rsidRPr="003A07D0">
              <w:rPr>
                <w:b/>
              </w:rPr>
              <w:t>Punkty</w:t>
            </w:r>
          </w:p>
        </w:tc>
        <w:tc>
          <w:tcPr>
            <w:tcW w:w="1418" w:type="dxa"/>
            <w:shd w:val="clear" w:color="auto" w:fill="auto"/>
            <w:vAlign w:val="center"/>
          </w:tcPr>
          <w:p w:rsidR="003A07D0" w:rsidRPr="003A07D0" w:rsidRDefault="003A07D0" w:rsidP="003A07D0">
            <w:pPr>
              <w:rPr>
                <w:b/>
              </w:rPr>
            </w:pPr>
            <w:r w:rsidRPr="003A07D0">
              <w:rPr>
                <w:b/>
              </w:rPr>
              <w:t>20</w:t>
            </w:r>
          </w:p>
        </w:tc>
        <w:tc>
          <w:tcPr>
            <w:tcW w:w="1417" w:type="dxa"/>
            <w:shd w:val="clear" w:color="auto" w:fill="auto"/>
            <w:vAlign w:val="center"/>
          </w:tcPr>
          <w:p w:rsidR="003A07D0" w:rsidRPr="003A07D0" w:rsidRDefault="003A07D0" w:rsidP="003A07D0">
            <w:pPr>
              <w:rPr>
                <w:b/>
              </w:rPr>
            </w:pPr>
            <w:r w:rsidRPr="003A07D0">
              <w:rPr>
                <w:b/>
              </w:rPr>
              <w:t>10</w:t>
            </w:r>
          </w:p>
        </w:tc>
        <w:tc>
          <w:tcPr>
            <w:tcW w:w="1418" w:type="dxa"/>
            <w:shd w:val="clear" w:color="auto" w:fill="auto"/>
            <w:vAlign w:val="center"/>
          </w:tcPr>
          <w:p w:rsidR="003A07D0" w:rsidRPr="003A07D0" w:rsidRDefault="003A07D0" w:rsidP="003A07D0">
            <w:pPr>
              <w:rPr>
                <w:b/>
              </w:rPr>
            </w:pPr>
            <w:r w:rsidRPr="003A07D0">
              <w:rPr>
                <w:b/>
              </w:rPr>
              <w:t>0</w:t>
            </w:r>
          </w:p>
        </w:tc>
      </w:tr>
    </w:tbl>
    <w:p w:rsidR="003A07D0" w:rsidRPr="003A07D0" w:rsidRDefault="003A07D0" w:rsidP="003A07D0"/>
    <w:p w:rsidR="003A07D0" w:rsidRPr="00530392" w:rsidRDefault="003A07D0" w:rsidP="003A07D0">
      <w:pPr>
        <w:rPr>
          <w:b/>
          <w:i/>
          <w:color w:val="FF0000"/>
          <w:u w:val="single"/>
        </w:rPr>
      </w:pPr>
      <w:r w:rsidRPr="00530392">
        <w:rPr>
          <w:b/>
          <w:i/>
          <w:color w:val="FF0000"/>
          <w:u w:val="single"/>
        </w:rPr>
        <w:t>Uwaga:</w:t>
      </w:r>
    </w:p>
    <w:p w:rsidR="003A07D0" w:rsidRPr="003A07D0" w:rsidRDefault="003A07D0" w:rsidP="00EA10F0">
      <w:pPr>
        <w:jc w:val="both"/>
        <w:rPr>
          <w:b/>
        </w:rPr>
      </w:pPr>
      <w:r w:rsidRPr="003A07D0">
        <w:rPr>
          <w:b/>
        </w:rPr>
        <w:t xml:space="preserve">       Wymagany minimalny okres rękojmi wynosi 36 miesięcy, maksymalny 60 miesięcy.</w:t>
      </w:r>
    </w:p>
    <w:p w:rsidR="00A53C63" w:rsidRDefault="003A07D0" w:rsidP="00EA10F0">
      <w:pPr>
        <w:jc w:val="both"/>
        <w:rPr>
          <w:b/>
        </w:rPr>
      </w:pPr>
      <w:r w:rsidRPr="003A07D0">
        <w:rPr>
          <w:b/>
        </w:rPr>
        <w:t xml:space="preserve">        W przypadku zadeklarowania okresu rękojmi dłuższego niż 60 miesięcy, </w:t>
      </w:r>
      <w:r w:rsidRPr="003A07D0">
        <w:rPr>
          <w:b/>
        </w:rPr>
        <w:br/>
        <w:t xml:space="preserve">        Zamawiający przyjmie do oceny okres 60 miesięcy</w:t>
      </w:r>
      <w:r w:rsidR="00A53C63">
        <w:rPr>
          <w:b/>
        </w:rPr>
        <w:t>.</w:t>
      </w:r>
    </w:p>
    <w:p w:rsidR="003A07D0" w:rsidRPr="003A07D0" w:rsidRDefault="003A07D0" w:rsidP="00EA10F0">
      <w:pPr>
        <w:jc w:val="both"/>
        <w:rPr>
          <w:b/>
        </w:rPr>
      </w:pPr>
      <w:r w:rsidRPr="003A07D0">
        <w:rPr>
          <w:b/>
        </w:rPr>
        <w:t xml:space="preserve">        Pozostawienie pustego miejsca bez wskazania okresu rękojmi w Formularzu Nr 1 </w:t>
      </w:r>
      <w:r w:rsidRPr="003A07D0">
        <w:rPr>
          <w:b/>
        </w:rPr>
        <w:br/>
        <w:t xml:space="preserve">        - Oferta pkt. 5 spowoduje, że Zamawiający przyjmie do oceny okres rękojmi </w:t>
      </w:r>
      <w:r w:rsidRPr="003A07D0">
        <w:rPr>
          <w:b/>
        </w:rPr>
        <w:br/>
        <w:t xml:space="preserve">        36 miesięcy.</w:t>
      </w:r>
    </w:p>
    <w:p w:rsidR="003A07D0" w:rsidRPr="003A07D0" w:rsidRDefault="003A07D0" w:rsidP="003A07D0"/>
    <w:p w:rsidR="003A07D0" w:rsidRPr="00530392" w:rsidRDefault="003A07D0" w:rsidP="003A07D0">
      <w:pPr>
        <w:rPr>
          <w:color w:val="FF0000"/>
        </w:rPr>
      </w:pPr>
      <w:r w:rsidRPr="00530392">
        <w:rPr>
          <w:b/>
          <w:color w:val="FF0000"/>
        </w:rPr>
        <w:t xml:space="preserve">    3) Doświadczenie Kierownika </w:t>
      </w:r>
      <w:r w:rsidR="00742FF3" w:rsidRPr="00530392">
        <w:rPr>
          <w:b/>
          <w:color w:val="FF0000"/>
        </w:rPr>
        <w:t>robót</w:t>
      </w:r>
      <w:r w:rsidRPr="00530392">
        <w:rPr>
          <w:b/>
          <w:color w:val="FF0000"/>
        </w:rPr>
        <w:t xml:space="preserve"> (D) -maksymalnie 20 pkt</w:t>
      </w:r>
    </w:p>
    <w:p w:rsidR="003A07D0" w:rsidRPr="003A07D0" w:rsidRDefault="003A07D0" w:rsidP="003A07D0"/>
    <w:p w:rsidR="003A07D0" w:rsidRPr="003A07D0" w:rsidRDefault="003A07D0" w:rsidP="003A07D0">
      <w:pPr>
        <w:ind w:left="456"/>
      </w:pPr>
      <w:r w:rsidRPr="003A07D0">
        <w:t>Kryterium „</w:t>
      </w:r>
      <w:r w:rsidR="00A81FCF">
        <w:rPr>
          <w:b/>
        </w:rPr>
        <w:t>Doświadczenie K</w:t>
      </w:r>
      <w:r w:rsidRPr="003A07D0">
        <w:rPr>
          <w:b/>
        </w:rPr>
        <w:t xml:space="preserve">ierownika </w:t>
      </w:r>
      <w:r w:rsidR="00742FF3">
        <w:rPr>
          <w:b/>
        </w:rPr>
        <w:t>robót</w:t>
      </w:r>
      <w:r w:rsidRPr="003A07D0">
        <w:t>” Zamawiający będzie przyznawał punkty według wzoru:</w:t>
      </w:r>
    </w:p>
    <w:p w:rsidR="00602DE3" w:rsidRPr="003A07D0" w:rsidRDefault="00602DE3" w:rsidP="003A07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276"/>
        <w:gridCol w:w="1276"/>
        <w:gridCol w:w="1276"/>
        <w:gridCol w:w="1275"/>
      </w:tblGrid>
      <w:tr w:rsidR="003A07D0" w:rsidRPr="003A07D0" w:rsidTr="00742FF3">
        <w:trPr>
          <w:trHeight w:val="818"/>
        </w:trPr>
        <w:tc>
          <w:tcPr>
            <w:tcW w:w="1134" w:type="dxa"/>
          </w:tcPr>
          <w:p w:rsidR="003A07D0" w:rsidRPr="003A07D0" w:rsidRDefault="003A07D0" w:rsidP="003A07D0">
            <w:pPr>
              <w:rPr>
                <w:b/>
              </w:rPr>
            </w:pPr>
          </w:p>
        </w:tc>
        <w:tc>
          <w:tcPr>
            <w:tcW w:w="7796" w:type="dxa"/>
            <w:gridSpan w:val="5"/>
            <w:shd w:val="clear" w:color="auto" w:fill="auto"/>
          </w:tcPr>
          <w:p w:rsidR="003A07D0" w:rsidRPr="003A07D0" w:rsidRDefault="00742FF3" w:rsidP="00603A29">
            <w:pPr>
              <w:rPr>
                <w:b/>
              </w:rPr>
            </w:pPr>
            <w:r>
              <w:rPr>
                <w:b/>
                <w:sz w:val="22"/>
                <w:szCs w:val="22"/>
              </w:rPr>
              <w:t xml:space="preserve">Doświadczenie kierownika </w:t>
            </w:r>
            <w:r>
              <w:rPr>
                <w:b/>
                <w:bCs/>
                <w:sz w:val="22"/>
                <w:szCs w:val="22"/>
              </w:rPr>
              <w:t xml:space="preserve">robót w branży instalacyjnej w zakresie sieci, instalacji i urządzeń elektrycznych i elektroenergetycznych oraz kwalifikacje grupy „D” i „E” </w:t>
            </w:r>
            <w:r>
              <w:rPr>
                <w:b/>
                <w:sz w:val="22"/>
                <w:szCs w:val="22"/>
              </w:rPr>
              <w:t xml:space="preserve">na zadaniach obejmujących budowę/ przebudowę oświetlenia na odcinku </w:t>
            </w:r>
            <w:r w:rsidR="00603A29">
              <w:rPr>
                <w:b/>
                <w:sz w:val="22"/>
                <w:szCs w:val="22"/>
              </w:rPr>
              <w:t>min. 400 m</w:t>
            </w:r>
            <w:r w:rsidR="00FE3246">
              <w:rPr>
                <w:b/>
                <w:sz w:val="22"/>
                <w:szCs w:val="22"/>
              </w:rPr>
              <w:t xml:space="preserve"> każde zadanie</w:t>
            </w:r>
            <w:r w:rsidR="00C56EF3">
              <w:rPr>
                <w:b/>
                <w:sz w:val="22"/>
                <w:szCs w:val="22"/>
              </w:rPr>
              <w:t>. Zadani</w:t>
            </w:r>
            <w:r w:rsidR="00FE3246">
              <w:rPr>
                <w:b/>
                <w:sz w:val="22"/>
                <w:szCs w:val="22"/>
              </w:rPr>
              <w:t>a</w:t>
            </w:r>
            <w:r w:rsidR="00C56EF3">
              <w:rPr>
                <w:b/>
                <w:sz w:val="22"/>
                <w:szCs w:val="22"/>
              </w:rPr>
              <w:t xml:space="preserve"> winn</w:t>
            </w:r>
            <w:r w:rsidR="00FE3246">
              <w:rPr>
                <w:b/>
                <w:sz w:val="22"/>
                <w:szCs w:val="22"/>
              </w:rPr>
              <w:t>y</w:t>
            </w:r>
            <w:r w:rsidR="00C56EF3">
              <w:rPr>
                <w:b/>
                <w:sz w:val="22"/>
                <w:szCs w:val="22"/>
              </w:rPr>
              <w:t xml:space="preserve"> </w:t>
            </w:r>
            <w:r w:rsidR="004513B2">
              <w:rPr>
                <w:b/>
                <w:sz w:val="22"/>
                <w:szCs w:val="22"/>
              </w:rPr>
              <w:t xml:space="preserve">być </w:t>
            </w:r>
            <w:r w:rsidR="00FE3246">
              <w:rPr>
                <w:b/>
                <w:sz w:val="22"/>
                <w:szCs w:val="22"/>
              </w:rPr>
              <w:t>zakończone.</w:t>
            </w:r>
          </w:p>
        </w:tc>
      </w:tr>
      <w:tr w:rsidR="003A07D0" w:rsidRPr="003A07D0" w:rsidTr="00742FF3">
        <w:trPr>
          <w:trHeight w:val="702"/>
        </w:trPr>
        <w:tc>
          <w:tcPr>
            <w:tcW w:w="3827" w:type="dxa"/>
            <w:gridSpan w:val="2"/>
            <w:shd w:val="clear" w:color="auto" w:fill="auto"/>
          </w:tcPr>
          <w:p w:rsidR="003A07D0" w:rsidRDefault="003A07D0" w:rsidP="003A07D0">
            <w:pPr>
              <w:rPr>
                <w:b/>
              </w:rPr>
            </w:pPr>
            <w:r w:rsidRPr="003A07D0">
              <w:rPr>
                <w:b/>
              </w:rPr>
              <w:t>Doświadczenie K</w:t>
            </w:r>
            <w:r>
              <w:rPr>
                <w:b/>
              </w:rPr>
              <w:t xml:space="preserve">ierownika </w:t>
            </w:r>
            <w:r w:rsidR="00742FF3">
              <w:rPr>
                <w:b/>
              </w:rPr>
              <w:t>robót</w:t>
            </w:r>
          </w:p>
          <w:p w:rsidR="003A07D0" w:rsidRPr="003A07D0" w:rsidRDefault="003A07D0" w:rsidP="003A07D0">
            <w:pPr>
              <w:rPr>
                <w:b/>
              </w:rPr>
            </w:pPr>
            <w:r w:rsidRPr="003A07D0">
              <w:rPr>
                <w:b/>
              </w:rPr>
              <w:t xml:space="preserve">- Ilość zadań </w:t>
            </w:r>
          </w:p>
        </w:tc>
        <w:tc>
          <w:tcPr>
            <w:tcW w:w="1276" w:type="dxa"/>
            <w:shd w:val="clear" w:color="auto" w:fill="auto"/>
            <w:vAlign w:val="center"/>
          </w:tcPr>
          <w:p w:rsidR="003A07D0" w:rsidRPr="003A07D0" w:rsidRDefault="003A07D0" w:rsidP="003A07D0">
            <w:pPr>
              <w:rPr>
                <w:b/>
              </w:rPr>
            </w:pPr>
            <w:r w:rsidRPr="003A07D0">
              <w:rPr>
                <w:b/>
              </w:rPr>
              <w:t>4 zadania i więcej</w:t>
            </w:r>
          </w:p>
        </w:tc>
        <w:tc>
          <w:tcPr>
            <w:tcW w:w="1276" w:type="dxa"/>
          </w:tcPr>
          <w:p w:rsidR="003A07D0" w:rsidRPr="003A07D0" w:rsidRDefault="003A07D0" w:rsidP="003A07D0">
            <w:pPr>
              <w:rPr>
                <w:b/>
              </w:rPr>
            </w:pPr>
          </w:p>
          <w:p w:rsidR="003A07D0" w:rsidRPr="003A07D0" w:rsidRDefault="003A07D0" w:rsidP="003A07D0">
            <w:pPr>
              <w:rPr>
                <w:b/>
              </w:rPr>
            </w:pPr>
            <w:r w:rsidRPr="003A07D0">
              <w:rPr>
                <w:b/>
              </w:rPr>
              <w:t>3 zadania</w:t>
            </w:r>
          </w:p>
        </w:tc>
        <w:tc>
          <w:tcPr>
            <w:tcW w:w="1276"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2 zadania</w:t>
            </w:r>
          </w:p>
        </w:tc>
        <w:tc>
          <w:tcPr>
            <w:tcW w:w="1275" w:type="dxa"/>
            <w:shd w:val="clear" w:color="auto" w:fill="auto"/>
            <w:vAlign w:val="center"/>
          </w:tcPr>
          <w:p w:rsidR="003A07D0" w:rsidRPr="003A07D0" w:rsidRDefault="003A07D0" w:rsidP="003A07D0">
            <w:pPr>
              <w:rPr>
                <w:b/>
              </w:rPr>
            </w:pPr>
            <w:r w:rsidRPr="003A07D0">
              <w:rPr>
                <w:b/>
              </w:rPr>
              <w:t>1 zadanie</w:t>
            </w:r>
          </w:p>
        </w:tc>
      </w:tr>
      <w:tr w:rsidR="003A07D0" w:rsidRPr="003A07D0" w:rsidTr="00742FF3">
        <w:tc>
          <w:tcPr>
            <w:tcW w:w="3827" w:type="dxa"/>
            <w:gridSpan w:val="2"/>
            <w:shd w:val="clear" w:color="auto" w:fill="auto"/>
          </w:tcPr>
          <w:p w:rsidR="003A07D0" w:rsidRPr="003A07D0" w:rsidRDefault="003A07D0" w:rsidP="003A07D0">
            <w:pPr>
              <w:rPr>
                <w:b/>
              </w:rPr>
            </w:pPr>
            <w:r w:rsidRPr="003A07D0">
              <w:rPr>
                <w:b/>
              </w:rPr>
              <w:t>Punkty</w:t>
            </w:r>
          </w:p>
        </w:tc>
        <w:tc>
          <w:tcPr>
            <w:tcW w:w="1276" w:type="dxa"/>
            <w:shd w:val="clear" w:color="auto" w:fill="auto"/>
            <w:vAlign w:val="center"/>
          </w:tcPr>
          <w:p w:rsidR="003A07D0" w:rsidRPr="003A07D0" w:rsidRDefault="003A07D0" w:rsidP="003A07D0">
            <w:pPr>
              <w:rPr>
                <w:b/>
              </w:rPr>
            </w:pPr>
            <w:r w:rsidRPr="003A07D0">
              <w:rPr>
                <w:b/>
              </w:rPr>
              <w:t>20</w:t>
            </w:r>
          </w:p>
        </w:tc>
        <w:tc>
          <w:tcPr>
            <w:tcW w:w="1276" w:type="dxa"/>
          </w:tcPr>
          <w:p w:rsidR="003A07D0" w:rsidRPr="003A07D0" w:rsidRDefault="003A07D0" w:rsidP="003A07D0">
            <w:pPr>
              <w:rPr>
                <w:b/>
              </w:rPr>
            </w:pPr>
            <w:r w:rsidRPr="003A07D0">
              <w:rPr>
                <w:b/>
              </w:rPr>
              <w:t>15</w:t>
            </w:r>
          </w:p>
        </w:tc>
        <w:tc>
          <w:tcPr>
            <w:tcW w:w="1276" w:type="dxa"/>
            <w:shd w:val="clear" w:color="auto" w:fill="auto"/>
          </w:tcPr>
          <w:p w:rsidR="003A07D0" w:rsidRPr="003A07D0" w:rsidRDefault="003A07D0" w:rsidP="003A07D0">
            <w:pPr>
              <w:rPr>
                <w:b/>
              </w:rPr>
            </w:pPr>
            <w:r w:rsidRPr="003A07D0">
              <w:rPr>
                <w:b/>
              </w:rPr>
              <w:t>10</w:t>
            </w:r>
          </w:p>
        </w:tc>
        <w:tc>
          <w:tcPr>
            <w:tcW w:w="1275" w:type="dxa"/>
            <w:shd w:val="clear" w:color="auto" w:fill="auto"/>
            <w:vAlign w:val="center"/>
          </w:tcPr>
          <w:p w:rsidR="003A07D0" w:rsidRPr="003A07D0" w:rsidRDefault="003A07D0" w:rsidP="003A07D0">
            <w:pPr>
              <w:rPr>
                <w:b/>
              </w:rPr>
            </w:pPr>
            <w:r w:rsidRPr="003A07D0">
              <w:rPr>
                <w:b/>
              </w:rPr>
              <w:t>5</w:t>
            </w:r>
          </w:p>
        </w:tc>
      </w:tr>
    </w:tbl>
    <w:p w:rsidR="003A07D0" w:rsidRPr="003A07D0" w:rsidRDefault="003A07D0" w:rsidP="003A07D0">
      <w:pPr>
        <w:rPr>
          <w:b/>
          <w:i/>
          <w:u w:val="single"/>
        </w:rPr>
      </w:pPr>
      <w:r w:rsidRPr="003A07D0">
        <w:rPr>
          <w:b/>
          <w:i/>
          <w:u w:val="single"/>
        </w:rPr>
        <w:t xml:space="preserve"> </w:t>
      </w:r>
    </w:p>
    <w:p w:rsidR="00945EEA" w:rsidRPr="00EA10F0" w:rsidRDefault="003A07D0" w:rsidP="00945EEA">
      <w:pPr>
        <w:ind w:left="342"/>
        <w:rPr>
          <w:b/>
          <w:i/>
          <w:color w:val="FF0000"/>
          <w:u w:val="single"/>
        </w:rPr>
      </w:pPr>
      <w:r w:rsidRPr="00EA10F0">
        <w:rPr>
          <w:b/>
          <w:i/>
          <w:color w:val="FF0000"/>
          <w:u w:val="single"/>
        </w:rPr>
        <w:t xml:space="preserve">Jeżeli Wykonawca nie wypełni tabeli dotyczącej kryterium „Doświadczenie  Kierownika </w:t>
      </w:r>
      <w:r w:rsidR="00742FF3" w:rsidRPr="00EA10F0">
        <w:rPr>
          <w:b/>
          <w:i/>
          <w:color w:val="FF0000"/>
          <w:u w:val="single"/>
        </w:rPr>
        <w:t>robót</w:t>
      </w:r>
      <w:r w:rsidR="00945EEA" w:rsidRPr="00EA10F0">
        <w:rPr>
          <w:b/>
          <w:i/>
          <w:color w:val="FF0000"/>
          <w:u w:val="single"/>
        </w:rPr>
        <w:t xml:space="preserve">” w formularzu oferty pkt. 6 </w:t>
      </w:r>
      <w:r w:rsidRPr="00EA10F0">
        <w:rPr>
          <w:b/>
          <w:i/>
          <w:color w:val="FF0000"/>
          <w:u w:val="single"/>
        </w:rPr>
        <w:t xml:space="preserve">(Załącznik Nr 1), Zamawiający </w:t>
      </w:r>
      <w:r w:rsidR="00945EEA" w:rsidRPr="00EA10F0">
        <w:rPr>
          <w:b/>
          <w:i/>
          <w:color w:val="FF0000"/>
          <w:u w:val="single"/>
        </w:rPr>
        <w:t xml:space="preserve">przyjmie, że kierownik </w:t>
      </w:r>
      <w:r w:rsidR="00EA10F0">
        <w:rPr>
          <w:b/>
          <w:i/>
          <w:color w:val="FF0000"/>
          <w:u w:val="single"/>
        </w:rPr>
        <w:t>robót</w:t>
      </w:r>
      <w:r w:rsidR="00945EEA" w:rsidRPr="00EA10F0">
        <w:rPr>
          <w:b/>
          <w:i/>
          <w:color w:val="FF0000"/>
          <w:u w:val="single"/>
        </w:rPr>
        <w:t xml:space="preserve"> nie posiada doświadczenia i do oceny kryterium przyjmie 0 pkt. </w:t>
      </w:r>
    </w:p>
    <w:p w:rsidR="003A07D0" w:rsidRPr="00945EEA" w:rsidRDefault="003A07D0" w:rsidP="003A07D0">
      <w:pPr>
        <w:rPr>
          <w:b/>
          <w:i/>
          <w:u w:val="single"/>
        </w:rPr>
      </w:pPr>
    </w:p>
    <w:p w:rsidR="003A07D0" w:rsidRPr="003A07D0" w:rsidRDefault="003A07D0" w:rsidP="003A07D0">
      <w:pPr>
        <w:rPr>
          <w:b/>
        </w:rPr>
      </w:pPr>
      <w:r w:rsidRPr="003A07D0">
        <w:rPr>
          <w:b/>
        </w:rPr>
        <w:t xml:space="preserve">    4) za najkorzystniejszą uznana zostanie oferta, która uzyska najwyższą liczbę   </w:t>
      </w:r>
      <w:r>
        <w:rPr>
          <w:b/>
        </w:rPr>
        <w:br/>
        <w:t xml:space="preserve">        </w:t>
      </w:r>
      <w:r w:rsidRPr="003A07D0">
        <w:rPr>
          <w:b/>
        </w:rPr>
        <w:t>punktów (</w:t>
      </w:r>
      <w:proofErr w:type="spellStart"/>
      <w:r w:rsidRPr="003A07D0">
        <w:rPr>
          <w:b/>
        </w:rPr>
        <w:t>Sp</w:t>
      </w:r>
      <w:proofErr w:type="spellEnd"/>
      <w:r w:rsidRPr="003A07D0">
        <w:rPr>
          <w:b/>
        </w:rPr>
        <w:t xml:space="preserve">), będącą sumą punktów przyznanych w poszczególnych kryteriach </w:t>
      </w:r>
      <w:r>
        <w:rPr>
          <w:b/>
        </w:rPr>
        <w:br/>
        <w:t xml:space="preserve">        </w:t>
      </w:r>
      <w:r w:rsidRPr="003A07D0">
        <w:rPr>
          <w:b/>
        </w:rPr>
        <w:t>i obliczonych wg poniższego wzoru :</w:t>
      </w:r>
    </w:p>
    <w:p w:rsidR="003A07D0" w:rsidRPr="003A07D0" w:rsidRDefault="003A07D0" w:rsidP="003A07D0">
      <w:pPr>
        <w:rPr>
          <w:b/>
        </w:rPr>
      </w:pPr>
      <w:r w:rsidRPr="003A07D0">
        <w:rPr>
          <w:b/>
        </w:rPr>
        <w:t xml:space="preserve">                                                                </w:t>
      </w:r>
      <w:proofErr w:type="spellStart"/>
      <w:r w:rsidRPr="003A07D0">
        <w:rPr>
          <w:b/>
        </w:rPr>
        <w:t>Sp</w:t>
      </w:r>
      <w:proofErr w:type="spellEnd"/>
      <w:r w:rsidRPr="003A07D0">
        <w:rPr>
          <w:b/>
        </w:rPr>
        <w:t xml:space="preserve"> = C + R+D</w:t>
      </w:r>
    </w:p>
    <w:p w:rsidR="003A07D0" w:rsidRPr="003A07D0" w:rsidRDefault="003A07D0" w:rsidP="003A07D0">
      <w:pPr>
        <w:ind w:left="399"/>
      </w:pPr>
      <w:r w:rsidRPr="003A07D0">
        <w:t>Gdzie:</w:t>
      </w:r>
    </w:p>
    <w:p w:rsidR="003A07D0" w:rsidRPr="003A07D0" w:rsidRDefault="003A07D0" w:rsidP="003A07D0">
      <w:pPr>
        <w:ind w:left="399"/>
      </w:pPr>
      <w:proofErr w:type="spellStart"/>
      <w:r w:rsidRPr="003A07D0">
        <w:t>Sp</w:t>
      </w:r>
      <w:proofErr w:type="spellEnd"/>
      <w:r w:rsidRPr="003A07D0">
        <w:t xml:space="preserve"> – suma punktów przyznana Wykonawcy w kryteriach: cena oferty</w:t>
      </w:r>
      <w:r>
        <w:t xml:space="preserve">, </w:t>
      </w:r>
      <w:r w:rsidRPr="003A07D0">
        <w:t>rękojmia udzielona przez Wykonawcę</w:t>
      </w:r>
      <w:r>
        <w:t xml:space="preserve"> oraz Doświadczenie Kierownika </w:t>
      </w:r>
      <w:r w:rsidR="00742FF3">
        <w:t>robót</w:t>
      </w:r>
    </w:p>
    <w:p w:rsidR="003A07D0" w:rsidRDefault="003A07D0" w:rsidP="003A07D0">
      <w:pPr>
        <w:ind w:left="399"/>
      </w:pPr>
      <w:r w:rsidRPr="003A07D0">
        <w:t>C – ilość punktów przyznanych w kryterium Cena</w:t>
      </w:r>
    </w:p>
    <w:p w:rsidR="00C15435" w:rsidRDefault="001B5837" w:rsidP="003A07D0">
      <w:pPr>
        <w:ind w:left="399"/>
      </w:pPr>
      <w:proofErr w:type="spellStart"/>
      <w:r>
        <w:t>Cof</w:t>
      </w:r>
      <w:proofErr w:type="spellEnd"/>
      <w:r>
        <w:t xml:space="preserve">. </w:t>
      </w:r>
      <w:r w:rsidR="00C15435">
        <w:t>min – najniższa cena spośród ofert nie podlegających odrzuceniu i złożonych przez wykonawców, którzy nie podlegali wykluczeniu w danym etapie badania i oceny ofert</w:t>
      </w:r>
    </w:p>
    <w:p w:rsidR="00C15435" w:rsidRPr="003A07D0" w:rsidRDefault="00C15435" w:rsidP="003A07D0">
      <w:pPr>
        <w:ind w:left="399"/>
      </w:pPr>
      <w:proofErr w:type="spellStart"/>
      <w:r>
        <w:t>Cof</w:t>
      </w:r>
      <w:proofErr w:type="spellEnd"/>
      <w:r>
        <w:t xml:space="preserve">. </w:t>
      </w:r>
      <w:proofErr w:type="spellStart"/>
      <w:r>
        <w:t>bad</w:t>
      </w:r>
      <w:proofErr w:type="spellEnd"/>
      <w:r>
        <w:t xml:space="preserve"> – cena oferty badanej</w:t>
      </w:r>
    </w:p>
    <w:p w:rsidR="003A07D0" w:rsidRPr="003A07D0" w:rsidRDefault="003A07D0" w:rsidP="003A07D0">
      <w:pPr>
        <w:ind w:left="399"/>
      </w:pPr>
      <w:r w:rsidRPr="003A07D0">
        <w:t>R – ilość punktów przyznanych w kryterium Rękojmi udzielonej przez Wykonawcę</w:t>
      </w:r>
    </w:p>
    <w:p w:rsidR="00BB6059" w:rsidRDefault="003A07D0" w:rsidP="00742FF3">
      <w:pPr>
        <w:ind w:left="399"/>
      </w:pPr>
      <w:r w:rsidRPr="003A07D0">
        <w:t>D- ilość punktów przyznanych w kryterium Doświadczen</w:t>
      </w:r>
      <w:r w:rsidR="00742FF3">
        <w:t>ie Kierownika robót</w:t>
      </w:r>
    </w:p>
    <w:p w:rsidR="00742FF3" w:rsidRDefault="00742FF3" w:rsidP="00742FF3">
      <w:pPr>
        <w:ind w:left="399"/>
        <w:rPr>
          <w:b/>
          <w:color w:val="FF0000"/>
        </w:rPr>
      </w:pPr>
    </w:p>
    <w:p w:rsidR="00C56EF3" w:rsidRPr="00C56EF3" w:rsidRDefault="00C56EF3" w:rsidP="000F0234">
      <w:pPr>
        <w:pStyle w:val="Akapitzlist1"/>
        <w:numPr>
          <w:ilvl w:val="0"/>
          <w:numId w:val="2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C56EF3">
        <w:rPr>
          <w:rFonts w:ascii="Times New Roman" w:hAnsi="Times New Roman"/>
          <w:b/>
          <w:bCs/>
          <w:color w:val="000000"/>
          <w:sz w:val="24"/>
          <w:szCs w:val="24"/>
        </w:rPr>
        <w:t xml:space="preserve">W przypadku gdy Wykonawca na skutek wezwania do złożenia wyjaśnień lub do uzupełnienia dokumentów Formularza Potencjał kadrowy (Formularz nr </w:t>
      </w:r>
      <w:r>
        <w:rPr>
          <w:rFonts w:ascii="Times New Roman" w:hAnsi="Times New Roman"/>
          <w:b/>
          <w:bCs/>
          <w:color w:val="000000"/>
          <w:sz w:val="24"/>
          <w:szCs w:val="24"/>
        </w:rPr>
        <w:t>4</w:t>
      </w:r>
      <w:r w:rsidRPr="00C56EF3">
        <w:rPr>
          <w:rFonts w:ascii="Times New Roman" w:hAnsi="Times New Roman"/>
          <w:b/>
          <w:bCs/>
          <w:color w:val="000000"/>
          <w:sz w:val="24"/>
          <w:szCs w:val="24"/>
        </w:rPr>
        <w:t xml:space="preserve">) zmieni wcześniej wskazaną osobę do pełnienia funkcji </w:t>
      </w:r>
      <w:r w:rsidR="009F2669">
        <w:rPr>
          <w:rFonts w:ascii="Times New Roman" w:hAnsi="Times New Roman"/>
          <w:b/>
          <w:bCs/>
          <w:color w:val="000000"/>
          <w:sz w:val="24"/>
          <w:szCs w:val="24"/>
        </w:rPr>
        <w:t>kierownika robót</w:t>
      </w:r>
      <w:r w:rsidRPr="00C56EF3">
        <w:rPr>
          <w:rFonts w:ascii="Times New Roman" w:hAnsi="Times New Roman"/>
          <w:b/>
          <w:bCs/>
          <w:color w:val="000000"/>
          <w:sz w:val="24"/>
          <w:szCs w:val="24"/>
        </w:rPr>
        <w:t xml:space="preserve"> branży </w:t>
      </w:r>
      <w:r w:rsidRPr="00C56EF3">
        <w:rPr>
          <w:rFonts w:ascii="Times New Roman" w:hAnsi="Times New Roman"/>
          <w:b/>
          <w:bCs/>
          <w:sz w:val="24"/>
          <w:szCs w:val="24"/>
        </w:rPr>
        <w:t>instalacyjnej</w:t>
      </w:r>
      <w:r>
        <w:rPr>
          <w:b/>
          <w:bCs/>
        </w:rPr>
        <w:t xml:space="preserve"> </w:t>
      </w:r>
      <w:r w:rsidR="009F2669">
        <w:rPr>
          <w:b/>
          <w:bCs/>
        </w:rPr>
        <w:br/>
      </w:r>
      <w:r w:rsidRPr="00C56EF3">
        <w:rPr>
          <w:rFonts w:ascii="Times New Roman" w:hAnsi="Times New Roman"/>
          <w:b/>
          <w:bCs/>
          <w:sz w:val="24"/>
          <w:szCs w:val="24"/>
        </w:rPr>
        <w:t>w zakresie sieci, instalacji i urządzeń elektrycznych i elektroenergetycznyc</w:t>
      </w:r>
      <w:r>
        <w:rPr>
          <w:rFonts w:ascii="Times New Roman" w:hAnsi="Times New Roman"/>
          <w:b/>
          <w:bCs/>
          <w:sz w:val="24"/>
          <w:szCs w:val="24"/>
        </w:rPr>
        <w:t>h</w:t>
      </w:r>
      <w:r w:rsidRPr="00C56EF3">
        <w:rPr>
          <w:rFonts w:ascii="Times New Roman" w:hAnsi="Times New Roman"/>
          <w:b/>
          <w:bCs/>
          <w:color w:val="000000"/>
          <w:sz w:val="24"/>
          <w:szCs w:val="24"/>
        </w:rPr>
        <w:t>, Zamawiający nie przyzna punktów w tym kryterium.</w:t>
      </w:r>
    </w:p>
    <w:p w:rsidR="00CE4ED8" w:rsidRPr="004824A0" w:rsidRDefault="00971135" w:rsidP="00523933">
      <w:pPr>
        <w:pStyle w:val="Akapitzlist1"/>
        <w:numPr>
          <w:ilvl w:val="0"/>
          <w:numId w:val="2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23959">
      <w:pPr>
        <w:pStyle w:val="Akapitzlist1"/>
        <w:numPr>
          <w:ilvl w:val="0"/>
          <w:numId w:val="23"/>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VII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3A07D0">
      <w:pPr>
        <w:pStyle w:val="Akapitzlist"/>
        <w:numPr>
          <w:ilvl w:val="3"/>
          <w:numId w:val="23"/>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3A07D0">
      <w:pPr>
        <w:pStyle w:val="Akapitzlist"/>
        <w:numPr>
          <w:ilvl w:val="3"/>
          <w:numId w:val="23"/>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3A07D0">
      <w:pPr>
        <w:pStyle w:val="Akapitzlist"/>
        <w:numPr>
          <w:ilvl w:val="3"/>
          <w:numId w:val="23"/>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BD237F" w:rsidRDefault="003A07D0" w:rsidP="003A07D0">
      <w:pPr>
        <w:pStyle w:val="Akapitzlist"/>
        <w:numPr>
          <w:ilvl w:val="3"/>
          <w:numId w:val="23"/>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3A07D0" w:rsidRPr="00801E4D" w:rsidRDefault="003A07D0" w:rsidP="003A07D0">
      <w:pPr>
        <w:pStyle w:val="Akapitzlist"/>
        <w:numPr>
          <w:ilvl w:val="3"/>
          <w:numId w:val="23"/>
        </w:numPr>
        <w:tabs>
          <w:tab w:val="left" w:pos="567"/>
        </w:tabs>
        <w:suppressAutoHyphens/>
        <w:ind w:left="426"/>
        <w:jc w:val="both"/>
        <w:rPr>
          <w:rFonts w:eastAsia="Calibri"/>
        </w:rPr>
      </w:pPr>
      <w:r w:rsidRPr="00801E4D">
        <w:rPr>
          <w:rFonts w:eastAsia="Calibri"/>
        </w:rPr>
        <w:t xml:space="preserve">Cena podana przez Wykonawcę w ofercie powinna zawierać podatek od towarów </w:t>
      </w:r>
      <w:r w:rsidRPr="00801E4D">
        <w:rPr>
          <w:rFonts w:eastAsia="Calibri"/>
        </w:rPr>
        <w:br/>
        <w:t xml:space="preserve">     i usług (VAT) w wysokości 23% oraz ewentualne upusty zastosowane przez </w:t>
      </w:r>
      <w:r w:rsidRPr="00801E4D">
        <w:rPr>
          <w:rFonts w:eastAsia="Calibri"/>
        </w:rPr>
        <w:br/>
        <w:t xml:space="preserve">     Wykonawcę.</w:t>
      </w:r>
    </w:p>
    <w:p w:rsidR="003A07D0" w:rsidRPr="00933985" w:rsidRDefault="003A07D0" w:rsidP="003A07D0">
      <w:pPr>
        <w:numPr>
          <w:ilvl w:val="0"/>
          <w:numId w:val="23"/>
        </w:numPr>
        <w:suppressAutoHyphens/>
        <w:ind w:left="426"/>
        <w:jc w:val="both"/>
        <w:rPr>
          <w:b/>
          <w:i/>
          <w:color w:val="0070C0"/>
          <w:u w:val="single"/>
        </w:rPr>
      </w:pPr>
      <w:r w:rsidRPr="005F18FA">
        <w:rPr>
          <w:color w:val="0070C0"/>
        </w:rPr>
        <w:t>Zamawiający załącza jako dokument pomocniczy przedmiar robót, który wykonawca może wykorzystać przy opracowaniu własnego przedmiaru robót, lecz nie jest to dokument dla niego wiążący.</w:t>
      </w:r>
    </w:p>
    <w:p w:rsidR="003A07D0" w:rsidRPr="00ED0986" w:rsidRDefault="006821C6" w:rsidP="003A07D0">
      <w:pPr>
        <w:numPr>
          <w:ilvl w:val="0"/>
          <w:numId w:val="23"/>
        </w:numPr>
        <w:ind w:left="142" w:firstLine="0"/>
        <w:jc w:val="both"/>
        <w:rPr>
          <w:b/>
          <w:i/>
          <w:color w:val="FF0000"/>
          <w:u w:val="single"/>
        </w:rPr>
      </w:pPr>
      <w:r>
        <w:t xml:space="preserve"> </w:t>
      </w:r>
      <w:r w:rsidR="003A07D0">
        <w:t xml:space="preserve">Jeżeli Wykonawca złoży ofertę, której wybór prowadziłby do powstania obowiązku </w:t>
      </w:r>
      <w:r w:rsidR="003A07D0">
        <w:br/>
        <w:t xml:space="preserve">      podatkowego u Zamawiającego, zgodnie z przepisami o podatku od  towarów </w:t>
      </w:r>
      <w:r w:rsidR="003A07D0">
        <w:br/>
        <w:t xml:space="preserve">      i usług, Zamawiający w celu oceny takiej oferty doliczy do przedstawionej w niej </w:t>
      </w:r>
      <w:r w:rsidR="003A07D0">
        <w:br/>
        <w:t xml:space="preserve">      ceny podatek od towarów i usług, który miałby obowiązek rozliczyć zgodnie </w:t>
      </w:r>
      <w:r w:rsidR="003A07D0">
        <w:br/>
        <w:t xml:space="preserve">      z obowiązującymi przepisami. </w:t>
      </w:r>
      <w:r w:rsidR="003A07D0" w:rsidRPr="00ED0986">
        <w:rPr>
          <w:color w:val="FF0000"/>
        </w:rPr>
        <w:t xml:space="preserve">Wykonawca, składając ofertę informuje </w:t>
      </w:r>
      <w:r w:rsidR="003A07D0" w:rsidRPr="00ED0986">
        <w:rPr>
          <w:color w:val="FF0000"/>
        </w:rPr>
        <w:br/>
        <w:t xml:space="preserve">      zamawiającego, czy wybór oferty będzie prowadzić do powstania u zamawiającego </w:t>
      </w:r>
      <w:r w:rsidR="003A07D0" w:rsidRPr="00ED0986">
        <w:rPr>
          <w:color w:val="FF0000"/>
        </w:rPr>
        <w:br/>
        <w:t xml:space="preserve">      obowiązku podatkowego, wskazując nazwę (rodzaj) towaru lub usługi, których </w:t>
      </w:r>
      <w:r w:rsidR="003A07D0" w:rsidRPr="00ED0986">
        <w:rPr>
          <w:color w:val="FF0000"/>
        </w:rPr>
        <w:br/>
        <w:t xml:space="preserve">      dostawa lub świadczenie będzie prowadzić do jego powstania oraz wskazując ich </w:t>
      </w:r>
      <w:r w:rsidR="003A07D0" w:rsidRPr="00ED098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3A07D0">
      <w:pPr>
        <w:numPr>
          <w:ilvl w:val="0"/>
          <w:numId w:val="6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3A07D0">
      <w:pPr>
        <w:numPr>
          <w:ilvl w:val="0"/>
          <w:numId w:val="6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3A07D0">
      <w:pPr>
        <w:numPr>
          <w:ilvl w:val="0"/>
          <w:numId w:val="6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056825">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056825">
              <w:rPr>
                <w:b/>
                <w:color w:val="000000"/>
              </w:rPr>
              <w:t>V</w:t>
            </w:r>
            <w:r w:rsidR="00CD1DDF" w:rsidRPr="004824A0">
              <w:rPr>
                <w:b/>
                <w:color w:val="000000"/>
              </w:rPr>
              <w:t>I</w:t>
            </w:r>
            <w:r w:rsidR="00056825">
              <w:rPr>
                <w:b/>
                <w:color w:val="000000"/>
              </w:rPr>
              <w:t>II</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EF348E">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23959">
      <w:pPr>
        <w:pStyle w:val="Tekstpodstawowy"/>
        <w:numPr>
          <w:ilvl w:val="0"/>
          <w:numId w:val="27"/>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923959">
      <w:pPr>
        <w:pStyle w:val="Akapitzlist"/>
        <w:numPr>
          <w:ilvl w:val="0"/>
          <w:numId w:val="27"/>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056825" w:rsidP="00923959">
      <w:pPr>
        <w:pStyle w:val="Akapitzlist"/>
        <w:numPr>
          <w:ilvl w:val="0"/>
          <w:numId w:val="27"/>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 na sumę gwarancyjną co najmniej  </w:t>
      </w:r>
      <w:r w:rsidR="006E0E2A" w:rsidRPr="006E0E2A">
        <w:rPr>
          <w:b/>
          <w:bCs/>
          <w:color w:val="FF0000"/>
        </w:rPr>
        <w:t>2</w:t>
      </w:r>
      <w:r w:rsidR="00BB6059" w:rsidRPr="00BB6059">
        <w:rPr>
          <w:b/>
          <w:bCs/>
          <w:color w:val="FF0000"/>
        </w:rPr>
        <w:t>00 000,00</w:t>
      </w:r>
      <w:r w:rsidR="00972715" w:rsidRPr="00BB6059">
        <w:rPr>
          <w:b/>
          <w:bCs/>
          <w:color w:val="FF0000"/>
        </w:rPr>
        <w:t xml:space="preserve"> PLN.</w:t>
      </w:r>
    </w:p>
    <w:p w:rsidR="001C44F2"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BD237F" w:rsidRPr="00FE6C17" w:rsidRDefault="00BD237F" w:rsidP="001C44F2">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I</w:t>
            </w:r>
            <w:r w:rsidRPr="004824A0">
              <w:rPr>
                <w:b/>
                <w:color w:val="000000"/>
              </w:rPr>
              <w:t>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056825">
        <w:rPr>
          <w:b/>
          <w:color w:val="FF0000"/>
        </w:rPr>
        <w:t>5</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416703">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11798C">
        <w:rPr>
          <w:b/>
        </w:rPr>
        <w:t xml:space="preserve">- </w:t>
      </w:r>
      <w:r w:rsidR="00B86ED3" w:rsidRPr="00A81FCF">
        <w:rPr>
          <w:b/>
        </w:rPr>
        <w:t xml:space="preserve">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XX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F86C5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621177" w:rsidRPr="004824A0" w:rsidRDefault="00523933" w:rsidP="00E1042C">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FE3246" w:rsidRPr="004824A0" w:rsidRDefault="00FE3246"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056825">
              <w:rPr>
                <w:b/>
                <w:color w:val="000000"/>
              </w:rPr>
              <w:t>XXI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1B5837">
        <w:rPr>
          <w:rFonts w:ascii="Times New Roman" w:hAnsi="Times New Roman"/>
          <w:bCs/>
          <w:sz w:val="24"/>
          <w:szCs w:val="24"/>
        </w:rPr>
        <w:t>Wzór</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AF261C">
      <w:pPr>
        <w:pStyle w:val="Akapitzlist1"/>
        <w:numPr>
          <w:ilvl w:val="3"/>
          <w:numId w:val="2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AF261C">
      <w:pPr>
        <w:pStyle w:val="Akapitzlist1"/>
        <w:numPr>
          <w:ilvl w:val="3"/>
          <w:numId w:val="2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59" w:rsidRDefault="00015D59">
      <w:r>
        <w:separator/>
      </w:r>
    </w:p>
  </w:endnote>
  <w:endnote w:type="continuationSeparator" w:id="0">
    <w:p w:rsidR="00015D59" w:rsidRDefault="000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59" w:rsidRPr="00877452" w:rsidRDefault="00015D59" w:rsidP="00033FCA">
    <w:pPr>
      <w:pStyle w:val="Stopka"/>
      <w:jc w:val="center"/>
      <w:rPr>
        <w:rFonts w:ascii="Arial" w:hAnsi="Arial" w:cs="Arial"/>
        <w:color w:val="000000"/>
        <w:sz w:val="16"/>
        <w:szCs w:val="16"/>
        <w:lang w:val="pl-PL"/>
      </w:rPr>
    </w:pPr>
  </w:p>
  <w:p w:rsidR="00015D59" w:rsidRPr="00033FCA" w:rsidRDefault="00015D59"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845794">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845794">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59" w:rsidRDefault="00015D59">
      <w:r>
        <w:separator/>
      </w:r>
    </w:p>
  </w:footnote>
  <w:footnote w:type="continuationSeparator" w:id="0">
    <w:p w:rsidR="00015D59" w:rsidRDefault="0001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26408CC"/>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lvl w:ilvl="0">
      <w:start w:val="1"/>
      <w:numFmt w:val="lowerLetter"/>
      <w:lvlText w:val="%1)"/>
      <w:lvlJc w:val="left"/>
      <w:pPr>
        <w:tabs>
          <w:tab w:val="num" w:pos="1068"/>
        </w:tabs>
        <w:ind w:left="1068" w:hanging="360"/>
      </w:pPr>
      <w:rPr>
        <w:b/>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7"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C381C"/>
    <w:multiLevelType w:val="hybridMultilevel"/>
    <w:tmpl w:val="119AC66E"/>
    <w:lvl w:ilvl="0" w:tplc="2B2A76CC">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9"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1B2FFF"/>
    <w:multiLevelType w:val="hybridMultilevel"/>
    <w:tmpl w:val="D9BA4C8E"/>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651D8C"/>
    <w:multiLevelType w:val="hybridMultilevel"/>
    <w:tmpl w:val="2982C5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C9F30E4"/>
    <w:multiLevelType w:val="multilevel"/>
    <w:tmpl w:val="4F4448A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B15C4"/>
    <w:multiLevelType w:val="hybridMultilevel"/>
    <w:tmpl w:val="7638A330"/>
    <w:lvl w:ilvl="0" w:tplc="70A4BC6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4"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2771"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3"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F38062E"/>
    <w:multiLevelType w:val="hybridMultilevel"/>
    <w:tmpl w:val="34E836CE"/>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FBD79E4"/>
    <w:multiLevelType w:val="hybridMultilevel"/>
    <w:tmpl w:val="18E08EE6"/>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2"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5B5B7A3C"/>
    <w:multiLevelType w:val="hybridMultilevel"/>
    <w:tmpl w:val="291C5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4E7D69"/>
    <w:multiLevelType w:val="hybridMultilevel"/>
    <w:tmpl w:val="BEF8DB16"/>
    <w:lvl w:ilvl="0" w:tplc="CD4A25B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7"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412679"/>
    <w:multiLevelType w:val="hybridMultilevel"/>
    <w:tmpl w:val="900C8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6B7DF5"/>
    <w:multiLevelType w:val="hybridMultilevel"/>
    <w:tmpl w:val="67E4231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60"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2"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5EC218F"/>
    <w:multiLevelType w:val="hybridMultilevel"/>
    <w:tmpl w:val="12825DEE"/>
    <w:lvl w:ilvl="0" w:tplc="F5F2D7E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13001"/>
    <w:multiLevelType w:val="hybridMultilevel"/>
    <w:tmpl w:val="88688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20"/>
  </w:num>
  <w:num w:numId="4">
    <w:abstractNumId w:val="33"/>
  </w:num>
  <w:num w:numId="5">
    <w:abstractNumId w:val="35"/>
  </w:num>
  <w:num w:numId="6">
    <w:abstractNumId w:val="42"/>
  </w:num>
  <w:num w:numId="7">
    <w:abstractNumId w:val="29"/>
  </w:num>
  <w:num w:numId="8">
    <w:abstractNumId w:val="65"/>
  </w:num>
  <w:num w:numId="9">
    <w:abstractNumId w:val="61"/>
  </w:num>
  <w:num w:numId="10">
    <w:abstractNumId w:val="37"/>
  </w:num>
  <w:num w:numId="11">
    <w:abstractNumId w:val="30"/>
  </w:num>
  <w:num w:numId="12">
    <w:abstractNumId w:val="41"/>
  </w:num>
  <w:num w:numId="13">
    <w:abstractNumId w:val="47"/>
  </w:num>
  <w:num w:numId="14">
    <w:abstractNumId w:val="50"/>
  </w:num>
  <w:num w:numId="15">
    <w:abstractNumId w:val="44"/>
  </w:num>
  <w:num w:numId="16">
    <w:abstractNumId w:val="63"/>
  </w:num>
  <w:num w:numId="17">
    <w:abstractNumId w:val="43"/>
  </w:num>
  <w:num w:numId="18">
    <w:abstractNumId w:val="51"/>
  </w:num>
  <w:num w:numId="19">
    <w:abstractNumId w:val="39"/>
  </w:num>
  <w:num w:numId="20">
    <w:abstractNumId w:val="66"/>
  </w:num>
  <w:num w:numId="21">
    <w:abstractNumId w:val="17"/>
  </w:num>
  <w:num w:numId="22">
    <w:abstractNumId w:val="68"/>
  </w:num>
  <w:num w:numId="23">
    <w:abstractNumId w:val="57"/>
  </w:num>
  <w:num w:numId="24">
    <w:abstractNumId w:val="55"/>
    <w:lvlOverride w:ilvl="0">
      <w:startOverride w:val="1"/>
    </w:lvlOverride>
  </w:num>
  <w:num w:numId="25">
    <w:abstractNumId w:val="46"/>
    <w:lvlOverride w:ilvl="0">
      <w:startOverride w:val="1"/>
    </w:lvlOverride>
  </w:num>
  <w:num w:numId="26">
    <w:abstractNumId w:val="31"/>
  </w:num>
  <w:num w:numId="27">
    <w:abstractNumId w:val="48"/>
  </w:num>
  <w:num w:numId="28">
    <w:abstractNumId w:val="60"/>
  </w:num>
  <w:num w:numId="29">
    <w:abstractNumId w:val="52"/>
  </w:num>
  <w:num w:numId="30">
    <w:abstractNumId w:val="40"/>
  </w:num>
  <w:num w:numId="31">
    <w:abstractNumId w:val="53"/>
  </w:num>
  <w:num w:numId="32">
    <w:abstractNumId w:val="24"/>
  </w:num>
  <w:num w:numId="33">
    <w:abstractNumId w:val="62"/>
  </w:num>
  <w:num w:numId="34">
    <w:abstractNumId w:val="23"/>
  </w:num>
  <w:num w:numId="35">
    <w:abstractNumId w:val="38"/>
  </w:num>
  <w:num w:numId="36">
    <w:abstractNumId w:val="19"/>
  </w:num>
  <w:num w:numId="37">
    <w:abstractNumId w:val="16"/>
  </w:num>
  <w:num w:numId="38">
    <w:abstractNumId w:val="49"/>
  </w:num>
  <w:num w:numId="39">
    <w:abstractNumId w:val="22"/>
  </w:num>
  <w:num w:numId="40">
    <w:abstractNumId w:val="26"/>
  </w:num>
  <w:num w:numId="41">
    <w:abstractNumId w:val="1"/>
  </w:num>
  <w:num w:numId="42">
    <w:abstractNumId w:val="21"/>
  </w:num>
  <w:num w:numId="43">
    <w:abstractNumId w:val="58"/>
  </w:num>
  <w:num w:numId="44">
    <w:abstractNumId w:val="64"/>
  </w:num>
  <w:num w:numId="45">
    <w:abstractNumId w:val="45"/>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27"/>
  </w:num>
  <w:num w:numId="61">
    <w:abstractNumId w:val="0"/>
  </w:num>
  <w:num w:numId="62">
    <w:abstractNumId w:val="54"/>
  </w:num>
  <w:num w:numId="63">
    <w:abstractNumId w:val="59"/>
  </w:num>
  <w:num w:numId="64">
    <w:abstractNumId w:val="32"/>
  </w:num>
  <w:num w:numId="65">
    <w:abstractNumId w:val="34"/>
  </w:num>
  <w:num w:numId="66">
    <w:abstractNumId w:val="28"/>
  </w:num>
  <w:num w:numId="67">
    <w:abstractNumId w:val="56"/>
  </w:num>
  <w:num w:numId="68">
    <w:abstractNumId w:val="18"/>
  </w:num>
  <w:num w:numId="69">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5682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06C"/>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1798C"/>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392"/>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5837"/>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3A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04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2EC3"/>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21D"/>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261"/>
    <w:rsid w:val="004513AC"/>
    <w:rsid w:val="004513B2"/>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5EAB"/>
    <w:rsid w:val="00516034"/>
    <w:rsid w:val="00517A7F"/>
    <w:rsid w:val="00517A91"/>
    <w:rsid w:val="0052006B"/>
    <w:rsid w:val="005201CA"/>
    <w:rsid w:val="0052020C"/>
    <w:rsid w:val="00521B6C"/>
    <w:rsid w:val="00523264"/>
    <w:rsid w:val="005232DA"/>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29"/>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1177"/>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68B"/>
    <w:rsid w:val="006876EE"/>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0FA3"/>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0E2A"/>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2C6B"/>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12A"/>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345"/>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B3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3B"/>
    <w:rsid w:val="008434A9"/>
    <w:rsid w:val="008437F0"/>
    <w:rsid w:val="008439B1"/>
    <w:rsid w:val="00843D9F"/>
    <w:rsid w:val="008441C7"/>
    <w:rsid w:val="0084479E"/>
    <w:rsid w:val="008448DF"/>
    <w:rsid w:val="00844B35"/>
    <w:rsid w:val="00845139"/>
    <w:rsid w:val="00845794"/>
    <w:rsid w:val="00845D09"/>
    <w:rsid w:val="00846503"/>
    <w:rsid w:val="00847836"/>
    <w:rsid w:val="00847CEB"/>
    <w:rsid w:val="00850102"/>
    <w:rsid w:val="00850326"/>
    <w:rsid w:val="00850D9D"/>
    <w:rsid w:val="008514F6"/>
    <w:rsid w:val="00851EED"/>
    <w:rsid w:val="00853CC2"/>
    <w:rsid w:val="00854A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13D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089"/>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321"/>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974"/>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3857"/>
    <w:rsid w:val="009E468C"/>
    <w:rsid w:val="009E531F"/>
    <w:rsid w:val="009E5EC2"/>
    <w:rsid w:val="009E690E"/>
    <w:rsid w:val="009E6B81"/>
    <w:rsid w:val="009F1C7B"/>
    <w:rsid w:val="009F2669"/>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6D9"/>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3C63"/>
    <w:rsid w:val="00A562EE"/>
    <w:rsid w:val="00A568A4"/>
    <w:rsid w:val="00A5792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003E"/>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0B0"/>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5F1A"/>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237F"/>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1BB9"/>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15435"/>
    <w:rsid w:val="00C2058E"/>
    <w:rsid w:val="00C22526"/>
    <w:rsid w:val="00C225A3"/>
    <w:rsid w:val="00C229F2"/>
    <w:rsid w:val="00C23D7E"/>
    <w:rsid w:val="00C2442F"/>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4100"/>
    <w:rsid w:val="00C44E00"/>
    <w:rsid w:val="00C44FC8"/>
    <w:rsid w:val="00C45802"/>
    <w:rsid w:val="00C4668C"/>
    <w:rsid w:val="00C472FC"/>
    <w:rsid w:val="00C52B3A"/>
    <w:rsid w:val="00C52D64"/>
    <w:rsid w:val="00C536FF"/>
    <w:rsid w:val="00C53930"/>
    <w:rsid w:val="00C54358"/>
    <w:rsid w:val="00C54568"/>
    <w:rsid w:val="00C555B5"/>
    <w:rsid w:val="00C56EF3"/>
    <w:rsid w:val="00C60DA5"/>
    <w:rsid w:val="00C62EF9"/>
    <w:rsid w:val="00C63E31"/>
    <w:rsid w:val="00C64892"/>
    <w:rsid w:val="00C667B8"/>
    <w:rsid w:val="00C67BF0"/>
    <w:rsid w:val="00C700F2"/>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A"/>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5DA"/>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5001B"/>
    <w:rsid w:val="00D50988"/>
    <w:rsid w:val="00D52B2B"/>
    <w:rsid w:val="00D52E31"/>
    <w:rsid w:val="00D547C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361C"/>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68D2"/>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10F0"/>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348E"/>
    <w:rsid w:val="00EF5C73"/>
    <w:rsid w:val="00EF5F87"/>
    <w:rsid w:val="00EF70F9"/>
    <w:rsid w:val="00EF763F"/>
    <w:rsid w:val="00F002D7"/>
    <w:rsid w:val="00F0081A"/>
    <w:rsid w:val="00F009FF"/>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013"/>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3246"/>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4"/>
      </w:numPr>
      <w:spacing w:before="120" w:after="120"/>
      <w:jc w:val="both"/>
    </w:pPr>
    <w:rPr>
      <w:rFonts w:eastAsia="Calibri"/>
      <w:szCs w:val="22"/>
      <w:lang w:eastAsia="en-GB"/>
    </w:rPr>
  </w:style>
  <w:style w:type="paragraph" w:customStyle="1" w:styleId="Tiret1">
    <w:name w:val="Tiret 1"/>
    <w:basedOn w:val="Normalny"/>
    <w:rsid w:val="003F3897"/>
    <w:pPr>
      <w:numPr>
        <w:numId w:val="25"/>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6"/>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8"/>
      </w:numPr>
    </w:pPr>
  </w:style>
  <w:style w:type="numbering" w:customStyle="1" w:styleId="WW8Num78">
    <w:name w:val="WW8Num78"/>
    <w:rsid w:val="00E32F31"/>
    <w:pPr>
      <w:numPr>
        <w:numId w:val="29"/>
      </w:numPr>
    </w:pPr>
  </w:style>
  <w:style w:type="numbering" w:customStyle="1" w:styleId="WW8Num77">
    <w:name w:val="WW8Num77"/>
    <w:rsid w:val="00E32F31"/>
    <w:pPr>
      <w:numPr>
        <w:numId w:val="30"/>
      </w:numPr>
    </w:pPr>
  </w:style>
  <w:style w:type="numbering" w:customStyle="1" w:styleId="WW8Num51">
    <w:name w:val="WW8Num51"/>
    <w:rsid w:val="00E32F31"/>
    <w:pPr>
      <w:numPr>
        <w:numId w:val="31"/>
      </w:numPr>
    </w:pPr>
  </w:style>
  <w:style w:type="numbering" w:customStyle="1" w:styleId="WW8Num13">
    <w:name w:val="WW8Num13"/>
    <w:rsid w:val="00E32F31"/>
    <w:pPr>
      <w:numPr>
        <w:numId w:val="32"/>
      </w:numPr>
    </w:pPr>
  </w:style>
  <w:style w:type="numbering" w:customStyle="1" w:styleId="WW8Num31">
    <w:name w:val="WW8Num31"/>
    <w:rsid w:val="00E32F31"/>
    <w:pPr>
      <w:numPr>
        <w:numId w:val="33"/>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BBC2-4402-49EE-91AA-B0AFC809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18</Pages>
  <Words>6132</Words>
  <Characters>40386</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46426</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79</cp:revision>
  <cp:lastPrinted>2017-06-07T07:48:00Z</cp:lastPrinted>
  <dcterms:created xsi:type="dcterms:W3CDTF">2016-09-06T06:50:00Z</dcterms:created>
  <dcterms:modified xsi:type="dcterms:W3CDTF">2017-06-07T09:01:00Z</dcterms:modified>
</cp:coreProperties>
</file>